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2798" w14:textId="0E1DB76B" w:rsidR="00810072" w:rsidRPr="00C400EC" w:rsidRDefault="00810072" w:rsidP="00810072">
      <w:pPr>
        <w:spacing w:after="0" w:line="240" w:lineRule="auto"/>
        <w:rPr>
          <w:rFonts w:ascii="Times New Roman" w:hAnsi="Times New Roman" w:cs="Times New Roman"/>
          <w:bCs/>
          <w:sz w:val="24"/>
          <w:szCs w:val="24"/>
        </w:rPr>
      </w:pPr>
      <w:r w:rsidRPr="00C400EC">
        <w:rPr>
          <w:rFonts w:ascii="Times New Roman" w:hAnsi="Times New Roman" w:cs="Times New Roman"/>
          <w:b/>
          <w:sz w:val="24"/>
          <w:szCs w:val="24"/>
        </w:rPr>
        <w:t>Title</w:t>
      </w:r>
      <w:r w:rsidR="00E93350" w:rsidRPr="00C400EC">
        <w:rPr>
          <w:rFonts w:ascii="Times New Roman" w:hAnsi="Times New Roman" w:cs="Times New Roman"/>
          <w:b/>
          <w:sz w:val="24"/>
          <w:szCs w:val="24"/>
        </w:rPr>
        <w:t xml:space="preserve">: </w:t>
      </w:r>
      <w:r w:rsidR="00CA2172" w:rsidRPr="00C400EC">
        <w:rPr>
          <w:rFonts w:ascii="Times New Roman" w:hAnsi="Times New Roman" w:cs="Times New Roman"/>
          <w:bCs/>
          <w:sz w:val="24"/>
          <w:szCs w:val="24"/>
        </w:rPr>
        <w:t xml:space="preserve">Emergency Department Based Interventions for </w:t>
      </w:r>
      <w:r w:rsidR="003E71E3">
        <w:rPr>
          <w:rFonts w:ascii="Times New Roman" w:hAnsi="Times New Roman" w:cs="Times New Roman"/>
          <w:bCs/>
          <w:sz w:val="24"/>
          <w:szCs w:val="24"/>
        </w:rPr>
        <w:t>Youth</w:t>
      </w:r>
      <w:r w:rsidR="00170360">
        <w:rPr>
          <w:rFonts w:ascii="Times New Roman" w:hAnsi="Times New Roman" w:cs="Times New Roman"/>
          <w:bCs/>
          <w:sz w:val="24"/>
          <w:szCs w:val="24"/>
        </w:rPr>
        <w:t xml:space="preserve"> with </w:t>
      </w:r>
      <w:r w:rsidR="00A910C4">
        <w:rPr>
          <w:rFonts w:ascii="Times New Roman" w:hAnsi="Times New Roman" w:cs="Times New Roman"/>
          <w:bCs/>
          <w:sz w:val="24"/>
          <w:szCs w:val="24"/>
        </w:rPr>
        <w:t xml:space="preserve">Firearm- </w:t>
      </w:r>
      <w:r w:rsidR="00170360">
        <w:rPr>
          <w:rFonts w:ascii="Times New Roman" w:hAnsi="Times New Roman" w:cs="Times New Roman"/>
          <w:bCs/>
          <w:sz w:val="24"/>
          <w:szCs w:val="24"/>
        </w:rPr>
        <w:t>and Assault-Related Injuries</w:t>
      </w:r>
      <w:r w:rsidR="00CA2172" w:rsidRPr="00C400EC">
        <w:rPr>
          <w:rFonts w:ascii="Times New Roman" w:hAnsi="Times New Roman" w:cs="Times New Roman"/>
          <w:bCs/>
          <w:sz w:val="24"/>
          <w:szCs w:val="24"/>
        </w:rPr>
        <w:t xml:space="preserve">: A Scoping Review </w:t>
      </w:r>
      <w:r w:rsidR="00857E96">
        <w:rPr>
          <w:rFonts w:ascii="Times New Roman" w:hAnsi="Times New Roman" w:cs="Times New Roman"/>
          <w:bCs/>
          <w:sz w:val="24"/>
          <w:szCs w:val="24"/>
        </w:rPr>
        <w:t xml:space="preserve">Protocol </w:t>
      </w:r>
    </w:p>
    <w:p w14:paraId="1905F332" w14:textId="77777777" w:rsidR="00810072" w:rsidRPr="00C400EC" w:rsidRDefault="00810072" w:rsidP="00810072">
      <w:pPr>
        <w:spacing w:after="0" w:line="240" w:lineRule="auto"/>
        <w:rPr>
          <w:rFonts w:ascii="Times New Roman" w:hAnsi="Times New Roman" w:cs="Times New Roman"/>
          <w:sz w:val="24"/>
          <w:szCs w:val="24"/>
        </w:rPr>
      </w:pPr>
    </w:p>
    <w:p w14:paraId="1B3DB9B6" w14:textId="5E5B709D" w:rsidR="00955FDE" w:rsidRPr="00C400EC" w:rsidRDefault="00810072" w:rsidP="00810072">
      <w:pPr>
        <w:spacing w:after="0" w:line="240" w:lineRule="auto"/>
        <w:rPr>
          <w:rFonts w:ascii="Times New Roman" w:hAnsi="Times New Roman" w:cs="Times New Roman"/>
          <w:sz w:val="24"/>
          <w:szCs w:val="24"/>
        </w:rPr>
      </w:pPr>
      <w:r w:rsidRPr="00C400EC">
        <w:rPr>
          <w:rFonts w:ascii="Times New Roman" w:hAnsi="Times New Roman" w:cs="Times New Roman"/>
          <w:b/>
          <w:sz w:val="24"/>
          <w:szCs w:val="24"/>
        </w:rPr>
        <w:t>Authors</w:t>
      </w:r>
      <w:r w:rsidRPr="00C400EC">
        <w:rPr>
          <w:rFonts w:ascii="Times New Roman" w:hAnsi="Times New Roman" w:cs="Times New Roman"/>
          <w:sz w:val="24"/>
          <w:szCs w:val="24"/>
        </w:rPr>
        <w:t xml:space="preserve">: </w:t>
      </w:r>
      <w:r w:rsidR="00CA2172" w:rsidRPr="00C400EC">
        <w:rPr>
          <w:rFonts w:ascii="Times New Roman" w:hAnsi="Times New Roman" w:cs="Times New Roman"/>
          <w:sz w:val="24"/>
          <w:szCs w:val="24"/>
        </w:rPr>
        <w:t>Samaa Kemal, MD, MPH</w:t>
      </w:r>
      <w:r w:rsidR="00CD67DB" w:rsidRPr="00CD67DB">
        <w:rPr>
          <w:rFonts w:ascii="Times New Roman" w:hAnsi="Times New Roman" w:cs="Times New Roman"/>
          <w:sz w:val="24"/>
          <w:szCs w:val="24"/>
          <w:vertAlign w:val="superscript"/>
        </w:rPr>
        <w:t>1,2</w:t>
      </w:r>
      <w:r w:rsidR="00706545">
        <w:rPr>
          <w:rFonts w:ascii="Times New Roman" w:hAnsi="Times New Roman" w:cs="Times New Roman"/>
          <w:sz w:val="24"/>
          <w:szCs w:val="24"/>
        </w:rPr>
        <w:t xml:space="preserve">; </w:t>
      </w:r>
      <w:proofErr w:type="spellStart"/>
      <w:r w:rsidR="00955FDE">
        <w:rPr>
          <w:rFonts w:ascii="Times New Roman" w:hAnsi="Times New Roman" w:cs="Times New Roman"/>
          <w:sz w:val="24"/>
          <w:szCs w:val="24"/>
        </w:rPr>
        <w:t>Jethel</w:t>
      </w:r>
      <w:proofErr w:type="spellEnd"/>
      <w:r w:rsidR="00955FDE">
        <w:rPr>
          <w:rFonts w:ascii="Times New Roman" w:hAnsi="Times New Roman" w:cs="Times New Roman"/>
          <w:sz w:val="24"/>
          <w:szCs w:val="24"/>
        </w:rPr>
        <w:t xml:space="preserve"> Hernandez</w:t>
      </w:r>
      <w:r w:rsidR="008C0031">
        <w:rPr>
          <w:rFonts w:ascii="Times New Roman" w:hAnsi="Times New Roman" w:cs="Times New Roman"/>
          <w:sz w:val="24"/>
          <w:szCs w:val="24"/>
        </w:rPr>
        <w:t>, BS</w:t>
      </w:r>
      <w:r w:rsidR="00CD67DB" w:rsidRPr="00CD67DB">
        <w:rPr>
          <w:rFonts w:ascii="Times New Roman" w:hAnsi="Times New Roman" w:cs="Times New Roman"/>
          <w:sz w:val="24"/>
          <w:szCs w:val="24"/>
          <w:vertAlign w:val="superscript"/>
        </w:rPr>
        <w:t>2</w:t>
      </w:r>
      <w:r w:rsidR="00706545">
        <w:rPr>
          <w:rFonts w:ascii="Times New Roman" w:hAnsi="Times New Roman" w:cs="Times New Roman"/>
          <w:sz w:val="24"/>
          <w:szCs w:val="24"/>
        </w:rPr>
        <w:t xml:space="preserve">; </w:t>
      </w:r>
      <w:r w:rsidR="00A70EA3">
        <w:rPr>
          <w:rFonts w:ascii="Times New Roman" w:hAnsi="Times New Roman" w:cs="Times New Roman"/>
          <w:sz w:val="24"/>
          <w:szCs w:val="24"/>
        </w:rPr>
        <w:t>Katie Donnelly, MD, MPH</w:t>
      </w:r>
      <w:r w:rsidR="00A70EA3" w:rsidRPr="00A70EA3">
        <w:rPr>
          <w:rFonts w:ascii="Times New Roman" w:hAnsi="Times New Roman" w:cs="Times New Roman"/>
          <w:sz w:val="24"/>
          <w:szCs w:val="24"/>
          <w:vertAlign w:val="superscript"/>
        </w:rPr>
        <w:t>3</w:t>
      </w:r>
      <w:r w:rsidR="00A70EA3">
        <w:rPr>
          <w:rFonts w:ascii="Times New Roman" w:hAnsi="Times New Roman" w:cs="Times New Roman"/>
          <w:sz w:val="24"/>
          <w:szCs w:val="24"/>
        </w:rPr>
        <w:t xml:space="preserve">; </w:t>
      </w:r>
      <w:r w:rsidR="003D6AEA">
        <w:rPr>
          <w:rFonts w:ascii="Times New Roman" w:hAnsi="Times New Roman" w:cs="Times New Roman"/>
          <w:sz w:val="24"/>
          <w:szCs w:val="24"/>
        </w:rPr>
        <w:t>Denise Nunes</w:t>
      </w:r>
      <w:r w:rsidR="0072467E">
        <w:rPr>
          <w:rFonts w:ascii="Times New Roman" w:hAnsi="Times New Roman" w:cs="Times New Roman"/>
          <w:sz w:val="24"/>
          <w:szCs w:val="24"/>
        </w:rPr>
        <w:t xml:space="preserve">, </w:t>
      </w:r>
      <w:r w:rsidR="0072467E" w:rsidRPr="0072467E">
        <w:rPr>
          <w:rFonts w:ascii="Times New Roman" w:hAnsi="Times New Roman" w:cs="Times New Roman"/>
          <w:sz w:val="24"/>
          <w:szCs w:val="24"/>
        </w:rPr>
        <w:t>MS RN, MSLIS</w:t>
      </w:r>
      <w:r w:rsidR="00A70EA3">
        <w:rPr>
          <w:rFonts w:ascii="Times New Roman" w:hAnsi="Times New Roman" w:cs="Times New Roman"/>
          <w:sz w:val="24"/>
          <w:szCs w:val="24"/>
          <w:vertAlign w:val="superscript"/>
        </w:rPr>
        <w:t>4</w:t>
      </w:r>
      <w:r w:rsidR="00706545">
        <w:rPr>
          <w:rFonts w:ascii="Times New Roman" w:hAnsi="Times New Roman" w:cs="Times New Roman"/>
          <w:sz w:val="24"/>
          <w:szCs w:val="24"/>
        </w:rPr>
        <w:t xml:space="preserve">; </w:t>
      </w:r>
      <w:r w:rsidR="00955FDE">
        <w:rPr>
          <w:rFonts w:ascii="Times New Roman" w:hAnsi="Times New Roman" w:cs="Times New Roman"/>
          <w:sz w:val="24"/>
          <w:szCs w:val="24"/>
        </w:rPr>
        <w:t>Joel Fein, MD, MPH</w:t>
      </w:r>
      <w:r w:rsidR="00CD67DB" w:rsidRPr="00CD67DB">
        <w:rPr>
          <w:rFonts w:ascii="Times New Roman" w:hAnsi="Times New Roman" w:cs="Times New Roman"/>
          <w:sz w:val="24"/>
          <w:szCs w:val="24"/>
          <w:vertAlign w:val="superscript"/>
        </w:rPr>
        <w:t>5</w:t>
      </w:r>
      <w:r w:rsidR="00A70EA3">
        <w:rPr>
          <w:rFonts w:ascii="Times New Roman" w:hAnsi="Times New Roman" w:cs="Times New Roman"/>
          <w:sz w:val="24"/>
          <w:szCs w:val="24"/>
          <w:vertAlign w:val="superscript"/>
        </w:rPr>
        <w:t>,6</w:t>
      </w:r>
      <w:r w:rsidR="00706545">
        <w:rPr>
          <w:rFonts w:ascii="Times New Roman" w:hAnsi="Times New Roman" w:cs="Times New Roman"/>
          <w:sz w:val="24"/>
          <w:szCs w:val="24"/>
        </w:rPr>
        <w:t xml:space="preserve">; </w:t>
      </w:r>
      <w:r w:rsidR="00955FDE">
        <w:rPr>
          <w:rFonts w:ascii="Times New Roman" w:hAnsi="Times New Roman" w:cs="Times New Roman"/>
          <w:sz w:val="24"/>
          <w:szCs w:val="24"/>
        </w:rPr>
        <w:t>Karen Sheehan, MD, MPH</w:t>
      </w:r>
      <w:r w:rsidR="00CD67DB" w:rsidRPr="00CD67DB">
        <w:rPr>
          <w:rFonts w:ascii="Times New Roman" w:hAnsi="Times New Roman" w:cs="Times New Roman"/>
          <w:sz w:val="24"/>
          <w:szCs w:val="24"/>
          <w:vertAlign w:val="superscript"/>
        </w:rPr>
        <w:t>1,2,</w:t>
      </w:r>
      <w:r w:rsidR="00A70EA3">
        <w:rPr>
          <w:rFonts w:ascii="Times New Roman" w:hAnsi="Times New Roman" w:cs="Times New Roman"/>
          <w:sz w:val="24"/>
          <w:szCs w:val="24"/>
          <w:vertAlign w:val="superscript"/>
        </w:rPr>
        <w:t>7</w:t>
      </w:r>
    </w:p>
    <w:p w14:paraId="7B5B3F81" w14:textId="77777777" w:rsidR="00CA2172" w:rsidRPr="00C400EC" w:rsidRDefault="00CA2172" w:rsidP="00810072">
      <w:pPr>
        <w:spacing w:after="0" w:line="240" w:lineRule="auto"/>
        <w:rPr>
          <w:rFonts w:ascii="Times New Roman" w:hAnsi="Times New Roman" w:cs="Times New Roman"/>
          <w:sz w:val="24"/>
          <w:szCs w:val="24"/>
        </w:rPr>
      </w:pPr>
    </w:p>
    <w:p w14:paraId="78F5F421" w14:textId="5691B168" w:rsidR="00CA2172" w:rsidRPr="00C400EC" w:rsidRDefault="00CA2172" w:rsidP="00810072">
      <w:pPr>
        <w:spacing w:after="0" w:line="240" w:lineRule="auto"/>
        <w:rPr>
          <w:rFonts w:ascii="Times New Roman" w:hAnsi="Times New Roman" w:cs="Times New Roman"/>
          <w:b/>
          <w:bCs/>
          <w:sz w:val="24"/>
          <w:szCs w:val="24"/>
        </w:rPr>
      </w:pPr>
      <w:r w:rsidRPr="00C400EC">
        <w:rPr>
          <w:rFonts w:ascii="Times New Roman" w:hAnsi="Times New Roman" w:cs="Times New Roman"/>
          <w:b/>
          <w:bCs/>
          <w:sz w:val="24"/>
          <w:szCs w:val="24"/>
        </w:rPr>
        <w:t xml:space="preserve">Affiliations: </w:t>
      </w:r>
    </w:p>
    <w:p w14:paraId="30B7FE77"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Division of Emergency Medicine, Ann &amp; Robert H. Lurie Children’s Hospital of Chicago, Chicago, Illinois</w:t>
      </w:r>
    </w:p>
    <w:p w14:paraId="7679F9C5"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Department of Pediatrics, Northwestern University Feinberg School of Medicine, Chicago, Illinois</w:t>
      </w:r>
    </w:p>
    <w:p w14:paraId="1B3D3E97" w14:textId="5A45164C" w:rsidR="00A70EA3" w:rsidRDefault="00A70EA3" w:rsidP="00810072">
      <w:pPr>
        <w:pStyle w:val="ListParagraph"/>
        <w:numPr>
          <w:ilvl w:val="0"/>
          <w:numId w:val="11"/>
        </w:numPr>
        <w:spacing w:after="0" w:line="240" w:lineRule="auto"/>
        <w:rPr>
          <w:rFonts w:ascii="Times New Roman" w:hAnsi="Times New Roman" w:cs="Times New Roman"/>
          <w:sz w:val="24"/>
          <w:szCs w:val="24"/>
        </w:rPr>
      </w:pPr>
      <w:r w:rsidRPr="00A70EA3">
        <w:rPr>
          <w:rFonts w:ascii="Times New Roman" w:hAnsi="Times New Roman" w:cs="Times New Roman"/>
          <w:sz w:val="24"/>
          <w:szCs w:val="24"/>
        </w:rPr>
        <w:t>Division of Emergency Medicine, Children’s National Health System, 111 Michigan Ave NW, Washington, DC 2001</w:t>
      </w:r>
    </w:p>
    <w:p w14:paraId="1454F632" w14:textId="77777777" w:rsidR="00CD67DB" w:rsidRDefault="00706545"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Galter Health Sciences Library, Northwestern University Feinberg School of Medicine, Chicago, Illinois</w:t>
      </w:r>
    </w:p>
    <w:p w14:paraId="71E4A392" w14:textId="77777777" w:rsid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Division of Emergency Medicine, Department of Pediatrics, Children’s Hospital of Philadelphia, 3401 Civic Center Blvd, Philadelphia, PA, 19104</w:t>
      </w:r>
    </w:p>
    <w:p w14:paraId="4198901A" w14:textId="77777777" w:rsid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Center for Violence Prevention, Children’s Hospital of Philadelphia, 2716 South St., Philadelphia, PA, 19146</w:t>
      </w:r>
    </w:p>
    <w:p w14:paraId="46595924" w14:textId="187E553C" w:rsidR="00CD67DB" w:rsidRPr="00CD67DB" w:rsidRDefault="00CD67DB" w:rsidP="00810072">
      <w:pPr>
        <w:pStyle w:val="ListParagraph"/>
        <w:numPr>
          <w:ilvl w:val="0"/>
          <w:numId w:val="11"/>
        </w:numPr>
        <w:spacing w:after="0" w:line="240" w:lineRule="auto"/>
        <w:rPr>
          <w:rFonts w:ascii="Times New Roman" w:hAnsi="Times New Roman" w:cs="Times New Roman"/>
          <w:sz w:val="24"/>
          <w:szCs w:val="24"/>
        </w:rPr>
      </w:pPr>
      <w:r w:rsidRPr="00CD67DB">
        <w:rPr>
          <w:rFonts w:ascii="Times New Roman" w:hAnsi="Times New Roman" w:cs="Times New Roman"/>
          <w:sz w:val="24"/>
          <w:szCs w:val="24"/>
        </w:rPr>
        <w:t>Patrick M. Magoon Institute for Healthy Communities, Ann &amp; Robert H. Lurie Children’s Hospital of Chicago, Chicago, Illinois</w:t>
      </w:r>
    </w:p>
    <w:p w14:paraId="192F046A" w14:textId="77777777" w:rsidR="00706545" w:rsidRPr="00C400EC" w:rsidRDefault="00706545" w:rsidP="00810072">
      <w:pPr>
        <w:spacing w:after="0" w:line="240" w:lineRule="auto"/>
        <w:rPr>
          <w:rFonts w:ascii="Times New Roman" w:hAnsi="Times New Roman" w:cs="Times New Roman"/>
          <w:sz w:val="24"/>
          <w:szCs w:val="24"/>
        </w:rPr>
      </w:pPr>
    </w:p>
    <w:p w14:paraId="201EA4EB" w14:textId="62B823E7" w:rsidR="00810072" w:rsidRPr="00C400EC" w:rsidRDefault="00810072" w:rsidP="00810072">
      <w:pPr>
        <w:spacing w:after="0" w:line="240" w:lineRule="auto"/>
        <w:rPr>
          <w:rFonts w:ascii="Times New Roman" w:hAnsi="Times New Roman" w:cs="Times New Roman"/>
          <w:bCs/>
          <w:sz w:val="24"/>
          <w:szCs w:val="24"/>
        </w:rPr>
      </w:pPr>
      <w:r w:rsidRPr="00C400EC">
        <w:rPr>
          <w:rFonts w:ascii="Times New Roman" w:hAnsi="Times New Roman" w:cs="Times New Roman"/>
          <w:b/>
          <w:sz w:val="24"/>
          <w:szCs w:val="24"/>
        </w:rPr>
        <w:t>Rationale</w:t>
      </w:r>
      <w:r w:rsidR="00CA2172" w:rsidRPr="00C400EC">
        <w:rPr>
          <w:rFonts w:ascii="Times New Roman" w:hAnsi="Times New Roman" w:cs="Times New Roman"/>
          <w:b/>
          <w:sz w:val="24"/>
          <w:szCs w:val="24"/>
        </w:rPr>
        <w:t>/Background</w:t>
      </w:r>
      <w:r w:rsidR="00724E79" w:rsidRPr="00C400EC">
        <w:rPr>
          <w:rFonts w:ascii="Times New Roman" w:hAnsi="Times New Roman" w:cs="Times New Roman"/>
          <w:b/>
          <w:sz w:val="24"/>
          <w:szCs w:val="24"/>
        </w:rPr>
        <w:t xml:space="preserve">: </w:t>
      </w:r>
    </w:p>
    <w:p w14:paraId="042B09A4" w14:textId="63920E7D" w:rsidR="003C11DE" w:rsidRDefault="003C11DE">
      <w:pPr>
        <w:spacing w:after="0" w:line="240" w:lineRule="auto"/>
        <w:rPr>
          <w:rFonts w:ascii="Times New Roman" w:hAnsi="Times New Roman" w:cs="Times New Roman"/>
          <w:bCs/>
          <w:sz w:val="24"/>
          <w:szCs w:val="24"/>
        </w:rPr>
      </w:pPr>
      <w:r w:rsidRPr="003C11DE">
        <w:rPr>
          <w:rFonts w:ascii="Times New Roman" w:hAnsi="Times New Roman" w:cs="Times New Roman"/>
          <w:bCs/>
          <w:sz w:val="24"/>
          <w:szCs w:val="24"/>
        </w:rPr>
        <w:t xml:space="preserve">Firearms </w:t>
      </w:r>
      <w:r>
        <w:rPr>
          <w:rFonts w:ascii="Times New Roman" w:hAnsi="Times New Roman" w:cs="Times New Roman"/>
          <w:bCs/>
          <w:sz w:val="24"/>
          <w:szCs w:val="24"/>
        </w:rPr>
        <w:t>are the leading cause of</w:t>
      </w:r>
      <w:r w:rsidRPr="003C11DE">
        <w:rPr>
          <w:rFonts w:ascii="Times New Roman" w:hAnsi="Times New Roman" w:cs="Times New Roman"/>
          <w:bCs/>
          <w:sz w:val="24"/>
          <w:szCs w:val="24"/>
        </w:rPr>
        <w:t xml:space="preserve"> death </w:t>
      </w:r>
      <w:r>
        <w:rPr>
          <w:rFonts w:ascii="Times New Roman" w:hAnsi="Times New Roman" w:cs="Times New Roman"/>
          <w:bCs/>
          <w:sz w:val="24"/>
          <w:szCs w:val="24"/>
        </w:rPr>
        <w:t>for</w:t>
      </w:r>
      <w:r w:rsidRPr="003C11DE">
        <w:rPr>
          <w:rFonts w:ascii="Times New Roman" w:hAnsi="Times New Roman" w:cs="Times New Roman"/>
          <w:bCs/>
          <w:sz w:val="24"/>
          <w:szCs w:val="24"/>
        </w:rPr>
        <w:t xml:space="preserve"> children</w:t>
      </w:r>
      <w:r>
        <w:rPr>
          <w:rFonts w:ascii="Times New Roman" w:hAnsi="Times New Roman" w:cs="Times New Roman"/>
          <w:bCs/>
          <w:sz w:val="24"/>
          <w:szCs w:val="24"/>
        </w:rPr>
        <w:t xml:space="preserve"> in the United States.</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{"citationItems":[{"id":"ITEM-1","itemData":{"DOI":"10.1056/nejmc2201761","ISSN":"0028-4793","author":[{"dropping-particle":"","family":"Goldstick","given":"Jason E.","non-dropping-particle":"","parse-names":false,"suffix":""},{"dropping-particle":"","family":"Cunningham","given":"Rebecca M.","non-dropping-particle":"","parse-names":false,"suffix":""},{"dropping-particle":"","family":"Carter","given":"Patrick M.","non-dropping-particle":"","parse-names":false,"suffix":""}],"container-title":"New England Journal of Medicine","id":"ITEM-1","issued":{"date-parts":[["2022"]]},"page":"1-2","title":"Current Causes of Death in Children and Adolescents in the United States","type":"article-journal"},"uris":["http://www.mendeley.com/documents/?uuid=f176dd67-9f27-49f5-97cf-c55de22ebcf9"]},{"id":"ITEM-2","itemData":{"URL":"https://www.cdc.gov/injury/wisqars/","author":[{"dropping-particle":"","family":"Centers for Disease Control and Prevention","given":"","non-dropping-particle":"","parse-names":false,"suffix":""}],"id":"ITEM-2","issued":{"date-parts":[["2021"]]},"title":"WISQARS Fatal Injury Reports, National, Regional and State, 1981 - 2019. Atlanta, GA; 2021. Available from:","type":"webpage"},"uris":["http://www.mendeley.com/documents/?uuid=4345adaf-c076-4108-99d5-de18a1a8ac89"]}],"mendeley":{"formattedCitation":"&lt;sup&gt;1,2&lt;/sup&gt;","plainTextFormattedCitation":"1,2","previouslyFormattedCitation":"&lt;sup&gt;1,2&lt;/sup&gt;"},"properties":{"noteIndex":0},"schema":"https://github.com/citation-style-language/schema/raw/master/csl-citation.json"}</w:instrText>
      </w:r>
      <w:r>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1,2</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C11DE">
        <w:rPr>
          <w:rFonts w:ascii="Times New Roman" w:hAnsi="Times New Roman" w:cs="Times New Roman"/>
          <w:bCs/>
          <w:sz w:val="24"/>
          <w:szCs w:val="24"/>
        </w:rPr>
        <w:t xml:space="preserve">Beyond mortality, poor outcomes related to non-fatal firearm injuries have devastating impacts on </w:t>
      </w:r>
      <w:r>
        <w:rPr>
          <w:rFonts w:ascii="Times New Roman" w:hAnsi="Times New Roman" w:cs="Times New Roman"/>
          <w:bCs/>
          <w:sz w:val="24"/>
          <w:szCs w:val="24"/>
        </w:rPr>
        <w:t>children</w:t>
      </w:r>
      <w:r w:rsidRPr="003C11DE">
        <w:rPr>
          <w:rFonts w:ascii="Times New Roman" w:hAnsi="Times New Roman" w:cs="Times New Roman"/>
          <w:bCs/>
          <w:sz w:val="24"/>
          <w:szCs w:val="24"/>
        </w:rPr>
        <w:t>, their families, their communities, and the healthcare system</w:t>
      </w:r>
      <w:r w:rsidR="00C16194">
        <w:rPr>
          <w:rFonts w:ascii="Times New Roman" w:hAnsi="Times New Roman" w:cs="Times New Roman"/>
          <w:bCs/>
          <w:sz w:val="24"/>
          <w:szCs w:val="24"/>
        </w:rPr>
        <w:t xml:space="preserve"> that cares for them</w:t>
      </w:r>
      <w:r w:rsidRPr="003C11DE">
        <w:rPr>
          <w:rFonts w:ascii="Times New Roman" w:hAnsi="Times New Roman" w:cs="Times New Roman"/>
          <w:bCs/>
          <w:sz w:val="24"/>
          <w:szCs w:val="24"/>
        </w:rPr>
        <w:t>.</w:t>
      </w:r>
      <w:r>
        <w:rPr>
          <w:rFonts w:ascii="Times New Roman" w:hAnsi="Times New Roman" w:cs="Times New Roman"/>
          <w:bCs/>
          <w:sz w:val="24"/>
          <w:szCs w:val="24"/>
        </w:rPr>
        <w:fldChar w:fldCharType="begin" w:fldLock="1"/>
      </w:r>
      <w:r w:rsidR="003B4A97">
        <w:rPr>
          <w:rFonts w:ascii="Times New Roman" w:hAnsi="Times New Roman" w:cs="Times New Roman"/>
          <w:bCs/>
          <w:sz w:val="24"/>
          <w:szCs w:val="24"/>
        </w:rPr>
        <w:instrText>ADDIN CSL_CITATION {"citationItems":[{"id":"ITEM-1","itemData":{"DOI":"10.1007/s10865-019-00035-2","ISSN":"15733521","PMID":"31367937","abstract":"The long-term consequences of exposure to firearm injury—including suicide, assault, and mass shootings—on children’s mental and physical health is unknown. Using PRISMA-ScR guidelines, we conducted a scoping review of four databases (PubMed, Scopus, PsychINFO, and CJ abstract) between January 1, 1985 and April 2, 2018 for articles describing long-term outcomes of child or adolescent firearm injury exposure (n = 3582). Among included studies (n = 31), most used retrospective cohorts or cross-sectional studies to describe the correlation between firearm injury and post-traumatic stress. A disproportionate number of studies examined the effect of mass shootings, although few of these studies were conducted in the United States and none described the impact of social media. Despite methodologic limitations, youth firearm injury exposure is clearly linked to high rates of post-traumatic stress symptoms and high rates of future injury. Evidence is lacking on best practices for prevention of mental health and behavioral sequelae among youth exposed to firearm injury. Future research should use rigorous methods to identify prevalence, correlates, and intervention strategies for these at-risk youth.","author":[{"dropping-particle":"","family":"Ranney","given":"Megan","non-dropping-particle":"","parse-names":false,"suffix":""},{"dropping-particle":"","family":"Karb","given":"Rebecca","non-dropping-particle":"","parse-names":false,"suffix":""},{"dropping-particle":"","family":"Ehrlich","given":"Peter","non-dropping-particle":"","parse-names":false,"suffix":""},{"dropping-particle":"","family":"Bromwich","given":"Kira","non-dropping-particle":"","parse-names":false,"suffix":""},{"dropping-particle":"","family":"Cunningham","given":"Rebecca","non-dropping-particle":"","parse-names":false,"suffix":""},{"dropping-particle":"","family":"Beidas","given":"Rinad S.","non-dropping-particle":"","parse-names":false,"suffix":""}],"container-title":"Journal of Behavioral Medicine","id":"ITEM-1","issue":"4","issued":{"date-parts":[["2019"]]},"page":"724-740","publisher":"Springer US","title":"What are the long-term consequences of youth exposure to firearm injury, and how do we prevent them? A scoping review","type":"article-journal","volume":"42"},"uris":["http://www.mendeley.com/documents/?uuid=d734fff7-6548-46b8-a948-d768d5ee425a"]},{"id":"ITEM-2","itemData":{"DOI":"10.1001/jamapediatrics.2021.3512","ISSN":"21686211","PMID":"34542562","abstract":"Importance: Many children and adolescents in the United States are exposed to neighborhood gun violence. Associations between violence exposure and children's short-term mental health are not well understood. Objective: To examine the association between neighborhood gun violence and subsequent mental health-related pediatric emergency department (ED) utilization. Design, Setting, and Participants: This location-based cross-sectional study included 128683 ED encounters for children aged 0 to 19 years living in 12 zip codes in Philadelphia, Pennsylvania, who presented to an urban academic pediatric ED from January 1, 2014, to December 31, 2018. Children were included if they (1) had 1 or more ED visits in the 60 days before or after a neighborhood shooting and (2) lived within a quarter-mile radius of the location where this shooting occurred. Analysis began August 2020 and ended May 2021. Exposure: Neighborhood violence exposure, as measured by whether a patient resided near 1 or more episodes of police-reported gun violence. Main Outcomes and Measures: ED encounters for a mental health-related chief complaint or primary diagnosis. Results: A total of 2629 people were shot in the study area between 2014 and 2018, and 54341 children living nearby had 1 or more ED visits within 60 days of a shooting. The majority of these children were Black (45946 [84.5%]) and were insured by Medicaid (42480 [78.1%]). After adjusting for age, sex, race and ethnicity, median household income by zip code, and insurance, children residing within one-eighth of a mile (2-3 blocks) of a shooting had greater odds of mental health-related ED presentations in the subsequent 14 days (adjusted odds ratio, 1.86 [95% CI, 1.20-2.88]), 30 days (adjusted odds ratio, 1.49 [95% CI, 1.11-2.03]), and 60 days (adjusted odds ratio, 1.35 [95% CI, 1.06-1.72]). Conclusions and Relevance: Exposure to neighborhood gun violence is associated with an increase in children's acute mental health symptoms. City health departments and pediatric health care systems should work together to provide community-based support for children and families exposed to violence and trauma-informed care for the subset of these children who subsequently present to the ED. Policies aimed at reducing children's exposure to neighborhood gun violence and mitigating the mental symptoms associated with gun violence exposure must be a public health priority.","author":[{"dropping-particle":"","family":"Vasan","given":"Aditi","non-dropping-particle":"","parse-names":false,"suffix":""},{"dropping-particle":"","family":"Mitchell","given":"Hannah K.","non-dropping-particle":"","parse-names":false,"suffix":""},{"dropping-particle":"","family":"Fein","given":"Joel A.","non-dropping-particle":"","parse-names":false,"suffix":""},{"dropping-particle":"","family":"Buckler","given":"David G.","non-dropping-particle":"","parse-names":false,"suffix":""},{"dropping-particle":"","family":"Wiebe","given":"Douglas J.","non-dropping-particle":"","parse-names":false,"suffix":""},{"dropping-particle":"","family":"South","given":"Eugenia C.","non-dropping-particle":"","parse-names":false,"suffix":""}],"container-title":"JAMA Pediatrics","id":"ITEM-2","issue":"12","issued":{"date-parts":[["2021"]]},"page":"1244-1251","title":"Association of Neighborhood Gun Violence with Mental Health-Related Pediatric Emergency Department Utilization","type":"article-journal","volume":"175"},"uris":["http://www.mendeley.com/documents/?uuid=d3f5c7c7-f74d-4085-a057-4d40b28df82e"]},{"id":"ITEM-3","itemData":{"DOI":"10.1017/S0954579409000145","ISSN":"09545794","PMID":"19144232","abstract":"Meta-analytic techniques were used to estimate the effects of exposure to community violence on mental health outcomes across 114 studies. Community violence had its strongest effects on posttraumatic stress disorder (PTSD) and externalizing problems and smallest impact on other internalizing symptoms. Victimization by community violence most predicted symptomatology compared to witnessing or hearing about community violence. Witnessing community violence had a greater effect than hearing about violence on externalizing problems, but both types of exposure had an equal impact on other internalizing problems. PTSD symptoms were equally predicted by victimization, witnessing, or hearing about community violence. Compared to children, adolescents reported a stronger relationship between externalizing behaviors and exposure, whereas children exhibited greater internalizing problems than did adolescents. © 2009 Cambridge University Press.","author":[{"dropping-particle":"","family":"Fowler","given":"Patrick J.","non-dropping-particle":"","parse-names":false,"suffix":""},{"dropping-particle":"","family":"Tompsett","given":"Carolyn J.","non-dropping-particle":"","parse-names":false,"suffix":""},{"dropping-particle":"","family":"Braciszewski","given":"Jordan M.","non-dropping-particle":"","parse-names":false,"suffix":""},{"dropping-particle":"","family":"Jacques-Tiura","given":"Angela J.","non-dropping-particle":"","parse-names":false,"suffix":""},{"dropping-particle":"","family":"Baltes","given":"Boris B.","non-dropping-particle":"","parse-names":false,"suffix":""}],"container-title":"Development and Psychopathology","id":"ITEM-3","issue":"1","issued":{"date-parts":[["2009"]]},"page":"227-259","title":"Community violence: A meta-analysis on the effect of exposure and mental health outcomes of children and adolescents","type":"article-journal","volume":"21"},"uris":["http://www.mendeley.com/documents/?uuid=d2ecebac-6456-4a9e-b34a-88da2e85b62d"]},{"id":"ITEM-4","itemData":{"DOI":"10.1111/acem.14318","ISSN":"1069-6563","abstract":"Objective: Firearm injuries are one of the leading preventable causes of morbidity and mortality among children. Limited information exists about the impact of nonfatal firearm injuries on utilization and expenditures. Our objective was to compare health care encounters and expenditures 1 year before and 1 year following a nonfatal firearm injury. Method(s): This was a retrospective cohort study of children 0 to 18 years with ICD-9/ICD-10 diagnosis codes for firearm injury (excluding nonpowder) in the emergency department or inpatient setting from 2010 to 2016 in the Medicaid MarketScan claims database. Outcomes included: (1) difference in health care encounters for 1 year before and 1 year after injury, (2) difference in health care expenditures, and (3) difference in complex chronic disease status. Descriptive statistics characterized patient demographics and health care utilization. Health expenditures were evaluated with Wilcoxon signed-rank tests. Result(s): Among 1,821 children, there were 22,398 health care encounters before the injury and 28,069 after. Concomitantly, there was an overall increase of $16.5 million in health expenditures ($9,084 per patient). There was a 50% increase in children qualifying for complex chronic condition status after firearm injury. Conclusion(s): Children who experience nonfatal firearm injury have increased number of health care encounters, chronic disease classification, and health care expenditures in the year following the injury. Prevention of firearm injuries in this vulnerable age group may result in considerable reductions in morbidity and health care costs.Copyright © 2021 by the Society for Academic Emergency Medicine","author":[{"dropping-particle":"","family":"Pulcini","given":"Christian D.","non-dropping-particle":"","parse-names":false,"suffix":""},{"dropping-particle":"","family":"Goyal","given":"Monika K.","non-dropping-particle":"","parse-names":false,"suffix":""},{"dropping-particle":"","family":"Hall","given":"Matt","non-dropping-particle":"","parse-names":false,"suffix":""},{"dropping-particle":"","family":"Gruhler De Souza","given":"Heidi","non-dropping-particle":"","parse-names":false,"suffix":""},{"dropping-particle":"","family":"Chaudhary","given":"Sofia","non-dropping-particle":"","parse-names":false,"suffix":""},{"dropping-particle":"","family":"Alpern","given":"Elizabeth R.","non-dropping-particle":"","parse-names":false,"suffix":""},{"dropping-particle":"","family":"Fein","given":"Joel A.","non-dropping-particle":"","parse-names":false,"suffix":""},{"dropping-particle":"","family":"Fleegler","given":"Eric W.","non-dropping-particle":"","parse-names":false,"suffix":""}],"container-title":"Academic Emergency Medicine","id":"ITEM-4","issue":"8","issued":{"date-parts":[["2021"]]},"page":"840-847","title":"Nonfatal firearm injuries: Utilization and expenditures for children pre‐ and postinjury","type":"article-journal","volume":"28"},"uris":["http://www.mendeley.com/documents/?uuid=1915b239-4626-4948-a9a4-3e8bb40fd615"]}],"mendeley":{"formattedCitation":"&lt;sup&gt;3–6&lt;/sup&gt;","plainTextFormattedCitation":"3–6","previouslyFormattedCitation":"&lt;sup&gt;3–6&lt;/sup&gt;"},"properties":{"noteIndex":0},"schema":"https://github.com/citation-style-language/schema/raw/master/csl-citation.json"}</w:instrText>
      </w:r>
      <w:r>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3–6</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Y</w:t>
      </w:r>
      <w:r w:rsidRPr="003C11DE">
        <w:rPr>
          <w:rFonts w:ascii="Times New Roman" w:hAnsi="Times New Roman" w:cs="Times New Roman"/>
          <w:bCs/>
          <w:sz w:val="24"/>
          <w:szCs w:val="24"/>
        </w:rPr>
        <w:t>outh with non-fatal firearm injuries are more likely to have increased healthcare needs after their injury, including ED visits, hospitalizations, and healthcare expenditures.</w:t>
      </w:r>
      <w:r w:rsidRPr="003C11DE">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{"citationItems":[{"id":"ITEM-1","itemData":{"DOI":"10.1111/acem.13200","ISSN":"15532712","PMID":"28423460","abstract":"Objective: The objective was to describe the characteristics of children seeking emergency care for firearm injuries within the PECARN network and assess the influence of both individual and neighborhood factors on firearm-related injury risk. Methods: This was a retrospective, multicenter cross-sectional analysis of children (&lt;19 years old) presenting to 16 pediatric EDs (2004–2008). ICD-9-CM E-codes were used to identify and categorize firearm injuries by mechanism/intent. Neighborhood variables were derived from home address data. Multivariable analysis examined the influence of individual and neighborhood factors on firearm-related injuries compared to nonfirearm ED visits. Injury recidivism was assessed. Results: A total of 1,758 pediatric ED visits for firearm-related injuries were analyzed. Assault (51.4%, n = 904) and unintentional injury (33.2%, n = 584) were the most common injury mechanisms. Among children with firearm injuries, 68.3% were older adolescents (15–19 years old), 82.3% were male, 68.2% were African American, and 76.3% received public insurance/were uninsured. Extremity injuries were most common (75.9%), with 20% sustaining injuries to multiple body regions, 48.1% requiring admission and 1% ED mortality. Multivariable analysis identified firearm injury risk factors, including adolescent age (p &lt; 0.001), male sex (p &lt; 0.001), non-Caucasian race/ethnicity (p &lt; 0.001), public payer/uninsured status (p &lt; 0.001), and higher levels of neighborhood disadvantage (p &lt; 0.001). Among children with firearm injuries, 12-month ED recidivism for any reason was 22.4%, with &lt; 1% returning for another firearm injury. Conclusion: Among children receiving ED treatment within the PECARN network, there are distinct demographic and neighborhood factors associated with firearm injuries. Among younger children (&lt;10 years old), unintentional injuries predominate, while assault-type injuries were most common among older adolescents. Overall, among this PECARN patient population, male adolescents living in neighborhoods characterized by high levels of concentrated disadvantage had an elevated risk for firearm injury. Public health efforts should focus on developing and implementing initiatives addressing risk factors at both the individual and the community level, including ED-based interventions to reduce the risk for firearm injuries among high-risk pediatric populations.","author":[{"dropping-particle":"","family":"Carter","given":"Patrick M.","non-dropping-particle":"","parse-names":false,"suffix":""},{"dropping-particle":"","family":"Cook","given":"Lawrence J.","non-dropping-particle":"","parse-names":false,"suffix":""},{"dropping-particle":"","family":"Macy","given":"Michelle L.","non-dropping-particle":"","parse-names":false,"suffix":""},{"dropping-particle":"","family":"Zonfrillo","given":"Mark R.","non-dropping-particle":"","parse-names":false,"suffix":""},{"dropping-particle":"","family":"Stanley","given":"Rachel M.","non-dropping-particle":"","parse-names":false,"suffix":""},{"dropping-particle":"","family":"Chamberlain","given":"James M.","non-dropping-particle":"","parse-names":false,"suffix":""},{"dropping-particle":"","family":"Fein","given":"Joel A.","non-dropping-particle":"","parse-names":false,"suffix":""},{"dropping-particle":"","family":"Alpern","given":"Elizabeth R.","non-dropping-particle":"","parse-names":false,"suffix":""},{"dropping-particle":"","family":"Cunningham","given":"Rebecca M.","non-dropping-particle":"","parse-names":false,"suffix":""}],"container-title":"Academic Emergency Medicine","id":"ITEM-1","issue":"7","issued":{"date-parts":[["2017"]]},"page":"803-813","title":"Individual and Neighborhood Characteristics of Children Seeking Emergency Department Care for Firearm Injuries Within the PECARN Network","type":"article-journal","volume":"24"},"uris":["http://www.mendeley.com/documents/?uuid=e35dba2d-18df-4fec-9f1f-b618ec266e6c"]},{"id":"ITEM-2","itemData":{"DOI":"10.1111/acem.14318","ISSN":"1069-6563","abstract":"Objective: Firearm injuries are one of the leading preventable causes of morbidity and mortality among children. Limited information exists about the impact of nonfatal firearm injuries on utilization and expenditures. Our objective was to compare health care encounters and expenditures 1 year before and 1 year following a nonfatal firearm injury. Method(s): This was a retrospective cohort study of children 0 to 18 years with ICD-9/ICD-10 diagnosis codes for firearm injury (excluding nonpowder) in the emergency department or inpatient setting from 2010 to 2016 in the Medicaid MarketScan claims database. Outcomes included: (1) difference in health care encounters for 1 year before and 1 year after injury, (2) difference in health care expenditures, and (3) difference in complex chronic disease status. Descriptive statistics characterized patient demographics and health care utilization. Health expenditures were evaluated with Wilcoxon signed-rank tests. Result(s): Among 1,821 children, there were 22,398 health care encounters before the injury and 28,069 after. Concomitantly, there was an overall increase of $16.5 million in health expenditures ($9,084 per patient). There was a 50% increase in children qualifying for complex chronic condition status after firearm injury. Conclusion(s): Children who experience nonfatal firearm injury have increased number of health care encounters, chronic disease classification, and health care expenditures in the year following the injury. Prevention of firearm injuries in this vulnerable age group may result in considerable reductions in morbidity and health care costs.Copyright © 2021 by the Society for Academic Emergency Medicine","author":[{"dropping-particle":"","family":"Pulcini","given":"Christian D.","non-dropping-particle":"","parse-names":false,"suffix":""},{"dropping-particle":"","family":"Goyal","given":"Monika K.","non-dropping-particle":"","parse-names":false,"suffix":""},{"dropping-particle":"","family":"Hall","given":"Matt","non-dropping-particle":"","parse-names":false,"suffix":""},{"dropping-particle":"","family":"Gruhler De Souza","given":"Heidi","non-dropping-particle":"","parse-names":false,"suffix":""},{"dropping-particle":"","family":"Chaudhary","given":"Sofia","non-dropping-particle":"","parse-names":false,"suffix":""},{"dropping-particle":"","family":"Alpern","given":"Elizabeth R.","non-dropping-particle":"","parse-names":false,"suffix":""},{"dropping-particle":"","family":"Fein","given":"Joel A.","non-dropping-particle":"","parse-names":false,"suffix":""},{"dropping-particle":"","family":"Fleegler","given":"Eric W.","non-dropping-particle":"","parse-names":false,"suffix":""}],"container-title":"Academic Emergency Medicine","id":"ITEM-2","issue":"8","issued":{"date-parts":[["2021"]]},"page":"840-847","title":"Nonfatal firearm injuries: Utilization and expenditures for children pre‐ and postinjury","type":"article-journal","volume":"28"},"uris":["http://www.mendeley.com/documents/?uuid=1915b239-4626-4948-a9a4-3e8bb40fd615"]}],"mendeley":{"formattedCitation":"&lt;sup&gt;6,7&lt;/sup&gt;","plainTextFormattedCitation":"6,7","previouslyFormattedCitation":"&lt;sup&gt;6,7&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Pr="003C11DE">
        <w:rPr>
          <w:rFonts w:ascii="Times New Roman" w:hAnsi="Times New Roman" w:cs="Times New Roman"/>
          <w:bCs/>
          <w:noProof/>
          <w:sz w:val="24"/>
          <w:szCs w:val="24"/>
          <w:vertAlign w:val="superscript"/>
        </w:rPr>
        <w:t>6,7</w:t>
      </w:r>
      <w:r w:rsidRPr="003C11DE">
        <w:rPr>
          <w:rFonts w:ascii="Times New Roman" w:hAnsi="Times New Roman" w:cs="Times New Roman"/>
          <w:bCs/>
          <w:sz w:val="24"/>
          <w:szCs w:val="24"/>
        </w:rPr>
        <w:fldChar w:fldCharType="end"/>
      </w:r>
      <w:r w:rsidRPr="003C11DE">
        <w:rPr>
          <w:rFonts w:ascii="Times New Roman" w:hAnsi="Times New Roman" w:cs="Times New Roman"/>
          <w:bCs/>
          <w:sz w:val="24"/>
          <w:szCs w:val="24"/>
        </w:rPr>
        <w:t xml:space="preserve"> </w:t>
      </w:r>
      <w:r w:rsidR="007A5D0F">
        <w:rPr>
          <w:rFonts w:ascii="Times New Roman" w:hAnsi="Times New Roman" w:cs="Times New Roman"/>
          <w:bCs/>
          <w:sz w:val="24"/>
          <w:szCs w:val="24"/>
        </w:rPr>
        <w:t>Assault-injured youth</w:t>
      </w:r>
      <w:r w:rsidR="00170360">
        <w:rPr>
          <w:rFonts w:ascii="Times New Roman" w:hAnsi="Times New Roman" w:cs="Times New Roman"/>
          <w:bCs/>
          <w:sz w:val="24"/>
          <w:szCs w:val="24"/>
        </w:rPr>
        <w:t>, including those with firearm-related injuries,</w:t>
      </w:r>
      <w:r w:rsidR="007A5D0F">
        <w:rPr>
          <w:rFonts w:ascii="Times New Roman" w:hAnsi="Times New Roman" w:cs="Times New Roman"/>
          <w:bCs/>
          <w:sz w:val="24"/>
          <w:szCs w:val="24"/>
        </w:rPr>
        <w:t xml:space="preserve"> are</w:t>
      </w:r>
      <w:r w:rsidRPr="003C11DE">
        <w:rPr>
          <w:rFonts w:ascii="Times New Roman" w:hAnsi="Times New Roman" w:cs="Times New Roman"/>
          <w:bCs/>
          <w:sz w:val="24"/>
          <w:szCs w:val="24"/>
        </w:rPr>
        <w:t xml:space="preserve"> at higher risk for subsequent violent injuries</w:t>
      </w:r>
      <w:r w:rsidRPr="003C11DE">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10.1016/j.annemergmed.2008.11.014","ISSN":"01960644","author":[{"dropping-particle":"","family":"Cunningham","given":"Rebecca","non-dropping-particle":"","parse-names":false,"suffix":""},{"dropping-particle":"","family":"Knox","given":"Lynda","non-dropping-particle":"","parse-names":false,"suffix":""},{"dropping-particle":"","family":"Fein","given":"Joel","non-dropping-particle":"","parse-names":false,"suffix":""},{"dropping-particle":"","family":"Harrison","given":"Stephanie","non-dropping-particle":"","parse-names":false,"suffix":""},{"dropping-particle":"","family":"Frisch","given":"Keri","non-dropping-particle":"","parse-names":false,"suffix":""},{"dropping-particle":"","family":"Walton","given":"Maureen","non-dropping-particle":"","parse-names":false,"suffix":""},{"dropping-particle":"","family":"Dicker","given":"Rochelle","non-dropping-particle":"","parse-names":false,"suffix":""},{"dropping-particle":"","family":"Calhoun","given":"Deane","non-dropping-particle":"","parse-names":false,"suffix":""},{"dropping-particle":"","family":"Becker","given":"Marla","non-dropping-particle":"","parse-names":false,"suffix":""},{"dropping-particle":"","family":"Hargarten","given":"Stephen W.","non-dropping-particle":"","parse-names":false,"suffix":""}],"container-title":"Annals of Emergency Medicine","id":"ITEM-1","issue":"4","issued":{"date-parts":[["2009","4"]]},"page":"490-500","title":"Before and After the Trauma Bay: The Prevention of Violent Injury Among Youth","type":"article-journal","volume":"53"},"uris":["http://www.mendeley.com/documents/?uuid=39917f08-a489-484c-98b2-886ef3e8b836"]},{"id":"ITEM-2","itemData":{"DOI":"10.7326/M14-2362","ISSN":"15393704","PMID":"25706337","abstract":"Background: Risk for violent victimization or crime perpetration after firearm-related hospitalization (FRH) must be determined to inform the need for future interventions. Objective: To compare the risk for subsequent violent injury, death, or crime perpetration among patients with an FRH, those hospitalized for noninjury reasons, and the general population. Design: Retrospective cohort study. Setting: All hospitals in Washington. Patients: Patients with an FRH and a random sample of those with a non-injury-related hospitalization in 2006 to 2007 (index hospitalization). Measurements: Primary outcomes included subsequent FRH, firearm-related death, and the combined outcome of firearm- or violence-related arrest ascertained through 2011. Results: Among patients with an index FRH (n = 613), rates of subsequent FRH, firearm-related death, and firearm- or violencerelated arrest were 329 (95% CI, 142 to 649), 100 (CI, 21 to 293), and 4221 (CI, 3352 to 5246) per 100 000 person-years, respectively. Compared with the general population, standardized incidence ratios among patients with an index FRH were 30.1 (CI, 14.9 to 61.0) for a subsequent FRH and 7.3 (CI, 2.4 to 22.9) for firearm-related death. In survival analyses that accounted for competing risks, patients with an index FRH were at greater risk for subsequent FRH (subhazard ratio [sHR], 21.2 [CI, 7.0 to 64.0]), firearm-related death (sHR, 4.3 [CI, 1.3 to 14.1]), and firearm- or violence-related arrest (sHR, 2.7 [CI, 2.0 to 3.5]) than those with a non-injury-related index hospitalization. Limitation: Lack of information on whether patients continued to reside in Washington during follow-up may have introduced outcome misclassification. Conclusion: Hospitalization for a firearm-related injury is associated with a heightened risk for subsequent violent victimization or crime perpetration. Further research at the intersection of clinical care, the criminal justice system, and public health to evaluate the effectiveness of interventions delivered to survivors of firearm-related injury is warranted. Primary Funding Source: Seattle City Council and University of Washington Royalty Research Fund.","author":[{"dropping-particle":"","family":"Rowhani-Rahbar","given":"Ali","non-dropping-particle":"","parse-names":false,"suffix":""},{"dropping-particle":"","family":"Zatzick","given":"Douglas","non-dropping-particle":"","parse-names":false,"suffix":""},{"dropping-particle":"","family":"Wang","given":"Jin","non-dropping-particle":"","parse-names":false,"suffix":""},{"dropping-particle":"","family":"Mills","given":"Brianna M.","non-dropping-particle":"","parse-names":false,"suffix":""},{"dropping-particle":"","family":"Simonetti","given":"Joseph A.","non-dropping-particle":"","parse-names":false,"suffix":""},{"dropping-particle":"","family":"Fan","given":"Mary D.","non-dropping-particle":"","parse-names":false,"suffix":""},{"dropping-particle":"","family":"Rivara","given":"Frederick P.","non-dropping-particle":"","parse-names":false,"suffix":""}],"container-title":"Annals of Internal Medicine","id":"ITEM-2","issue":"7","issued":{"date-parts":[["2015"]]},"page":"492-500","title":"Firearm-related hospitalization and risk for subsequent violent injury, death, or crime perpetration: A cohort study","type":"article-journal","volume":"162"},"uris":["http://www.mendeley.com/documents/?uuid=2f62816a-62cd-4987-bb31-09acb7fa664f"]},{"id":"ITEM-3","itemData":{"DOI":"10.1001/jamapediatrics.2014.1900","ISSN":"2168-6203","author":[{"dropping-particle":"","family":"Cunningham","given":"Rebecca M.","non-dropping-particle":"","parse-names":false,"suffix":""},{"dropping-particle":"","family":"Carter","given":"Patrick M.","non-dropping-particle":"","parse-names":false,"suffix":""},{"dropping-particle":"","family":"Ranney","given":"Megan","non-dropping-particle":"","parse-names":false,"suffix":""},{"dropping-particle":"","family":"Zimmerman","given":"Marc A.","non-dropping-particle":"","parse-names":false,"suffix":""},{"dropping-particle":"","family":"Blow","given":"Fred C.","non-dropping-particle":"","parse-names":false,"suffix":""},{"dropping-particle":"","family":"Booth","given":"Brenda M.","non-dropping-particle":"","parse-names":false,"suffix":""},{"dropping-particle":"","family":"Goldstick","given":"Jason","non-dropping-particle":"","parse-names":false,"suffix":""},{"dropping-particle":"","family":"Walton","given":"Maureen A.","non-dropping-particle":"","parse-names":false,"suffix":""}],"container-title":"JAMA Pediatrics","id":"ITEM-3","issue":"1","issued":{"date-parts":[["2015","1","1"]]},"page":"63","title":"Violent Reinjury and Mortality Among Youth Seeking Emergency Department Care for Assault-Related Injury","type":"article-journal","volume":"169"},"uris":["http://www.mendeley.com/documents/?uuid=63215d78-2f96-42a8-9bc5-c237d53024a9"]}],"mendeley":{"formattedCitation":"&lt;sup&gt;8–10&lt;/sup&gt;","plainTextFormattedCitation":"8–10","previouslyFormattedCitation":"&lt;sup&gt;8–10&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007A5D0F" w:rsidRPr="007A5D0F">
        <w:rPr>
          <w:rFonts w:ascii="Times New Roman" w:hAnsi="Times New Roman" w:cs="Times New Roman"/>
          <w:bCs/>
          <w:noProof/>
          <w:sz w:val="24"/>
          <w:szCs w:val="24"/>
          <w:vertAlign w:val="superscript"/>
        </w:rPr>
        <w:t>8–10</w:t>
      </w:r>
      <w:r w:rsidRPr="003C11DE">
        <w:rPr>
          <w:rFonts w:ascii="Times New Roman" w:hAnsi="Times New Roman" w:cs="Times New Roman"/>
          <w:bCs/>
          <w:sz w:val="24"/>
          <w:szCs w:val="24"/>
        </w:rPr>
        <w:fldChar w:fldCharType="end"/>
      </w:r>
      <w:r w:rsidRPr="003C11DE">
        <w:rPr>
          <w:rFonts w:ascii="Times New Roman" w:hAnsi="Times New Roman" w:cs="Times New Roman"/>
          <w:bCs/>
          <w:sz w:val="24"/>
          <w:szCs w:val="24"/>
        </w:rPr>
        <w:t xml:space="preserve"> and mental health sequelae such as post-traumatic stress disorder and substance abuse.</w:t>
      </w:r>
      <w:r w:rsidRPr="003C11DE">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{"citationItems":[{"id":"ITEM-1","itemData":{"DOI":"10.1016/j.acap.2021.06.003","ISSN":"18762867","PMID":"34119719","abstract":"Background and Objectives: Firearm injury is a leading cause of mortality for US youth. For every youth who dies from a firearm injury, at least 4 more survive. Little is known about the mental health consequences of non-fatal firearm injury in youth. Our objective was to quantify new mental health diagnoses after nonfatal firearm injury. Methods: MarketScan Medicaid and commercial data were used to identify youth age 0 to 17 years with an initial encounter for a nonfatal firearm injury in 2016 to 2017. The International Classification of Diseases, Tenth Revision codes determined the presence of mental health conditions in the 12 months preinjury, during the index encounter, and in the 12 months postinjury. Logistic regression analysis was performed to determine factors associated with new mental health diagnoses during the 12 months postinjury. Results: About 2178 patients (1769 Medicaid, 409 commercial) were identified for inclusion. 844 (38.8%) patients had a mental health diagnosis identified during the 12-month preinjury period. During the index encounter, 184 (8.5%) patients had a newly diagnosed mental health disorder. In the 12 months postinjury, 559 (25.7%) patients had a newly diagnosed mental health disorder. The most common new diagnosis categories were trauma disorders, substance abuse, and disruptive disorders. Medicaid insurance and a prior complex chronic condition were predictors of new mental health diagnosis. Conclusion: Over a quarter of youth with nonfatal firearm injury were diagnosed with a new mental health condition in the 12 months after their injury. Health care providers should be vigilant about mental health screening and ensuring access to mental health care services in this population.","author":[{"dropping-particle":"","family":"Oddo","given":"Elizabeth R.","non-dropping-particle":"","parse-names":false,"suffix":""},{"dropping-particle":"","family":"Maldonado","given":"Lizmarie","non-dropping-particle":"","parse-names":false,"suffix":""},{"dropping-particle":"","family":"Hink","given":"Ashley B.","non-dropping-particle":"","parse-names":false,"suffix":""},{"dropping-particle":"","family":"Simpson","given":"Annie N.","non-dropping-particle":"","parse-names":false,"suffix":""},{"dropping-particle":"","family":"Andrews","given":"Annie L.","non-dropping-particle":"","parse-names":false,"suffix":""}],"container-title":"Academic Pediatrics","id":"ITEM-1","issue":"7","issued":{"date-parts":[["2021"]]},"page":"1203-1208","publisher":"Elsevier Inc.","title":"Increase in Mental Health Diagnoses Among Youth With Nonfatal Firearm Injuries","type":"article-journal","volume":"21"},"uris":["http://www.mendeley.com/documents/?uuid=c46733f0-ccb6-49a3-b101-51a10271e174"]},{"id":"ITEM-2","itemData":{"DOI":"10.1097/SLA.0000000000005557","ISSN":"0003-4932","author":[{"dropping-particle":"","family":"Ehrlich","given":"Peter F.","non-dropping-particle":"","parse-names":false,"suffix":""},{"dropping-particle":"","family":"Pulcini","given":"Christian D.","non-dropping-particle":"","parse-names":false,"suffix":""},{"dropping-particle":"","family":"Souza","given":"Heidi G.","non-dropping-particle":"De","parse-names":false,"suffix":""},{"dropping-particle":"","family":"Hall","given":"Matt","non-dropping-particle":"","parse-names":false,"suffix":""},{"dropping-particle":"","family":"Andrews","given":"Annie","non-dropping-particle":"","parse-names":false,"suffix":""},{"dropping-particle":"","family":"Zima","given":"Bonnie T.","non-dropping-particle":"","parse-names":false,"suffix":""},{"dropping-particle":"","family":"Fein","given":"Joel A.","non-dropping-particle":"","parse-names":false,"suffix":""},{"dropping-particle":"","family":"Chaudhary","given":"Sofia","non-dropping-particle":"","parse-names":false,"suffix":""},{"dropping-particle":"","family":"Hoffmann","given":"Jennifer A.","non-dropping-particle":"","parse-names":false,"suffix":""},{"dropping-particle":"","family":"Fleegler","given":"Eric W.","non-dropping-particle":"","parse-names":false,"suffix":""},{"dropping-particle":"","family":"Jeffries","given":"Kristyn N.","non-dropping-particle":"","parse-names":false,"suffix":""},{"dropping-particle":"","family":"Goyal","given":"Monika K.","non-dropping-particle":"","parse-names":false,"suffix":""},{"dropping-particle":"","family":"Hargarten","given":"Stephen W.","non-dropping-particle":"","parse-names":false,"suffix":""},{"dropping-particle":"","family":"Alpern","given":"Elizabeth R.","non-dropping-particle":"","parse-names":false,"suffix":""}],"container-title":"Annals of Surgery","id":"ITEM-2","issue":"3","issued":{"date-parts":[["2022","9"]]},"page":"463-471","title":"Mental Health Care Following Firearm and Motor Vehicle-related Injuries","type":"article-journal","volume":"276"},"uris":["http://www.mendeley.com/documents/?uuid=a0c9cb22-c07b-4bc1-919d-c1c3f400cbb3"]},{"id":"ITEM-3","itemData":{"DOI":"10.1016/j.addbeh.2014.09.019","ISSN":"03064603","author":[{"dropping-particle":"","family":"Bohnert","given":"Kipling M.","non-dropping-particle":"","parse-names":false,"suffix":""},{"dropping-particle":"","family":"Walton","given":"Maureen A.","non-dropping-particle":"","parse-names":false,"suffix":""},{"dropping-particle":"","family":"Ranney","given":"Megan","non-dropping-particle":"","parse-names":false,"suffix":""},{"dropping-particle":"","family":"Bonar","given":"Erin E.","non-dropping-particle":"","parse-names":false,"suffix":""},{"dropping-particle":"","family":"Blow","given":"Frederic C.","non-dropping-particle":"","parse-names":false,"suffix":""},{"dropping-particle":"","family":"Zimmerman","given":"Marc A.","non-dropping-particle":"","parse-names":false,"suffix":""},{"dropping-particle":"","family":"Booth","given":"Brenda M.","non-dropping-particle":"","parse-names":false,"suffix":""},{"dropping-particle":"","family":"Cunningham","given":"Rebecca M.","non-dropping-particle":"","parse-names":false,"suffix":""}],"container-title":"Addictive Behaviors","id":"ITEM-3","issued":{"date-parts":[["2015","2"]]},"page":"97-105","title":"Understanding the service needs of assault-injured, drug-using youth presenting for care in an urban Emergency Department","type":"article-journal","volume":"41"},"uris":["http://www.mendeley.com/documents/?uuid=6cbe55a7-7aa1-4852-a6fd-1256e7cf2ac1"]}],"mendeley":{"formattedCitation":"&lt;sup&gt;11–13&lt;/sup&gt;","plainTextFormattedCitation":"11–13","previouslyFormattedCitation":"&lt;sup&gt;11,12&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11–13</w:t>
      </w:r>
      <w:r w:rsidRPr="003C11DE">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00FB3252">
        <w:rPr>
          <w:rFonts w:ascii="Times New Roman" w:hAnsi="Times New Roman" w:cs="Times New Roman"/>
          <w:bCs/>
          <w:sz w:val="24"/>
          <w:szCs w:val="24"/>
        </w:rPr>
        <w:t>Assault-injured youth also have a higher likelihood of prior ED use especially for psychiatric and injury-related concerns.</w:t>
      </w:r>
      <w:r w:rsidR="00FB3252">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{"citationItems":[{"id":"ITEM-1","itemData":{"DOI":"10.1097/PEC.0000000000000609","ISSN":"0749-5161","author":[{"dropping-particle":"","family":"Turcotte Benedict","given":"Frances","non-dropping-particle":"","parse-names":false,"suffix":""},{"dropping-particle":"","family":"Amanullah","given":"Siraj","non-dropping-particle":"","parse-names":false,"suffix":""},{"dropping-particle":"","family":"Linakis","given":"James G.","non-dropping-particle":"","parse-names":false,"suffix":""},{"dropping-particle":"","family":"Ranney","given":"Megan","non-dropping-particle":"","parse-names":false,"suffix":""}],"container-title":"Pediatric Emergency Care","id":"ITEM-1","issue":"9","issued":{"date-parts":[["2017","9"]]},"page":"607-612","title":"Emergency Department Utilization Among Assault-Injured Youth","type":"article-journal","volume":"33"},"uris":["http://www.mendeley.com/documents/?uuid=41c11f67-3d3e-4863-9b2c-30a785e76154"]}],"mendeley":{"formattedCitation":"&lt;sup&gt;14&lt;/sup&gt;","plainTextFormattedCitation":"14","previouslyFormattedCitation":"&lt;sup&gt;13&lt;/sup&gt;"},"properties":{"noteIndex":0},"schema":"https://github.com/citation-style-language/schema/raw/master/csl-citation.json"}</w:instrText>
      </w:r>
      <w:r w:rsidR="00FB3252">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14</w:t>
      </w:r>
      <w:r w:rsidR="00FB3252">
        <w:rPr>
          <w:rFonts w:ascii="Times New Roman" w:hAnsi="Times New Roman" w:cs="Times New Roman"/>
          <w:bCs/>
          <w:sz w:val="24"/>
          <w:szCs w:val="24"/>
        </w:rPr>
        <w:fldChar w:fldCharType="end"/>
      </w:r>
      <w:r w:rsidR="00FB3252">
        <w:rPr>
          <w:rFonts w:ascii="Times New Roman" w:hAnsi="Times New Roman" w:cs="Times New Roman"/>
          <w:bCs/>
          <w:sz w:val="24"/>
          <w:szCs w:val="24"/>
        </w:rPr>
        <w:t xml:space="preserve"> </w:t>
      </w:r>
      <w:r w:rsidR="00914FCF">
        <w:rPr>
          <w:rFonts w:ascii="Times New Roman" w:hAnsi="Times New Roman" w:cs="Times New Roman"/>
          <w:bCs/>
          <w:sz w:val="24"/>
          <w:szCs w:val="24"/>
        </w:rPr>
        <w:t>T</w:t>
      </w:r>
      <w:r w:rsidRPr="003C11DE">
        <w:rPr>
          <w:rFonts w:ascii="Times New Roman" w:hAnsi="Times New Roman" w:cs="Times New Roman"/>
          <w:bCs/>
          <w:sz w:val="24"/>
          <w:szCs w:val="24"/>
        </w:rPr>
        <w:t xml:space="preserve">here is an urgent need to identify effective surveillance and prevention strategies to reduce harm and preserve well-being among </w:t>
      </w:r>
      <w:r>
        <w:rPr>
          <w:rFonts w:ascii="Times New Roman" w:hAnsi="Times New Roman" w:cs="Times New Roman"/>
          <w:bCs/>
          <w:sz w:val="24"/>
          <w:szCs w:val="24"/>
        </w:rPr>
        <w:t>these</w:t>
      </w:r>
      <w:r w:rsidRPr="003C11DE">
        <w:rPr>
          <w:rFonts w:ascii="Times New Roman" w:hAnsi="Times New Roman" w:cs="Times New Roman"/>
          <w:bCs/>
          <w:sz w:val="24"/>
          <w:szCs w:val="24"/>
        </w:rPr>
        <w:t xml:space="preserve"> vulnerable youth. </w:t>
      </w:r>
    </w:p>
    <w:p w14:paraId="44C62D69" w14:textId="77777777" w:rsidR="003C11DE" w:rsidRDefault="003C11DE">
      <w:pPr>
        <w:spacing w:after="0" w:line="240" w:lineRule="auto"/>
        <w:rPr>
          <w:rFonts w:ascii="Times New Roman" w:hAnsi="Times New Roman" w:cs="Times New Roman"/>
          <w:bCs/>
          <w:sz w:val="24"/>
          <w:szCs w:val="24"/>
        </w:rPr>
      </w:pPr>
    </w:p>
    <w:p w14:paraId="5E4EADBE" w14:textId="6E9C4565" w:rsidR="00DE4C61" w:rsidRDefault="003C11D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Emergency Departme</w:t>
      </w:r>
      <w:r w:rsidR="00B763E5">
        <w:rPr>
          <w:rFonts w:ascii="Times New Roman" w:hAnsi="Times New Roman" w:cs="Times New Roman"/>
          <w:bCs/>
          <w:sz w:val="24"/>
          <w:szCs w:val="24"/>
        </w:rPr>
        <w:t>nt (ED) is an important and often underutilized location for violence prevention.</w:t>
      </w:r>
      <w:r w:rsidR="00B763E5">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10.1016/j.annemergmed.2008.11.014","ISSN":"01960644","author":[{"dropping-particle":"","family":"Cunningham","given":"Rebecca","non-dropping-particle":"","parse-names":false,"suffix":""},{"dropping-particle":"","family":"Knox","given":"Lynda","non-dropping-particle":"","parse-names":false,"suffix":""},{"dropping-particle":"","family":"Fein","given":"Joel","non-dropping-particle":"","parse-names":false,"suffix":""},{"dropping-particle":"","family":"Harrison","given":"Stephanie","non-dropping-particle":"","parse-names":false,"suffix":""},{"dropping-particle":"","family":"Frisch","given":"Keri","non-dropping-particle":"","parse-names":false,"suffix":""},{"dropping-particle":"","family":"Walton","given":"Maureen","non-dropping-particle":"","parse-names":false,"suffix":""},{"dropping-particle":"","family":"Dicker","given":"Rochelle","non-dropping-particle":"","parse-names":false,"suffix":""},{"dropping-particle":"","family":"Calhoun","given":"Deane","non-dropping-particle":"","parse-names":false,"suffix":""},{"dropping-particle":"","family":"Becker","given":"Marla","non-dropping-particle":"","parse-names":false,"suffix":""},{"dropping-particle":"","family":"Hargarten","given":"Stephen W.","non-dropping-particle":"","parse-names":false,"suffix":""}],"container-title":"Annals of Emergency Medicine","id":"ITEM-1","issue":"4","issued":{"date-parts":[["2009","4"]]},"page":"490-500","title":"Before and After the Trauma Bay: The Prevention of Violent Injury Among Youth","type":"article-journal","volume":"53"},"uris":["http://www.mendeley.com/documents/?uuid=ab0e9e16-53cb-4a79-9a37-bf1535cce829"]},{"id":"ITEM-2","itemData":{"DOI":"10.1080/15299732.2011.593260","ISSN":"1529-9732","author":[{"dropping-particle":"","family":"Corbin","given":"Theodore J.","non-dropping-particle":"","parse-names":false,"suffix":""},{"dropping-particle":"","family":"Rich","given":"John A.","non-dropping-particle":"","parse-names":false,"suffix":""},{"dropping-particle":"","family":"Bloom","given":"Sandra L.","non-dropping-particle":"","parse-names":false,"suffix":""},{"dropping-particle":"","family":"Delgado","given":"Dionne","non-dropping-particle":"","parse-names":false,"suffix":""},{"dropping-particle":"","family":"Rich","given":"Linda J.","non-dropping-particle":"","parse-names":false,"suffix":""},{"dropping-particle":"","family":"Wilson","given":"Ann S.","non-dropping-particle":"","parse-names":false,"suffix":""}],"container-title":"Journal of Trauma &amp; Dissociation","id":"ITEM-2","issue":"5","issued":{"date-parts":[["2011","10"]]},"page":"510-525","title":"Developing a Trauma-Informed, Emergency Department–Based Intervention for Victims of Urban Violence","type":"article-journal","volume":"12"},"uris":["http://www.mendeley.com/documents/?uuid=b199f95e-51c6-4e81-bacd-399fcaf0716c"]},{"id":"ITEM-3","itemData":{"DOI":"10.1016/j.cpem.2013.01.004","ISSN":"15228401","author":[{"dropping-particle":"","family":"Fein","given":"Joel A.","non-dropping-particle":"","parse-names":false,"suffix":""},{"dropping-particle":"","family":"Mollen","given":"Cynthia J.","non-dropping-particle":"","parse-names":false,"suffix":""},{"dropping-particle":"","family":"Greene","given":"Michael B.","non-dropping-particle":"","parse-names":false,"suffix":""}],"container-title":"Clinical Pediatric Emergency Medicine","id":"ITEM-3","issue":"1","issued":{"date-parts":[["2013","3"]]},"page":"47-55","title":"The Assault-Injured Youth and the Emergency Medical System: What Can We Do?","type":"article-journal","volume":"14"},"uris":["http://www.mendeley.com/documents/?uuid=fd2c5db8-1417-4651-a555-5e78bdfe8a13"]}],"mendeley":{"formattedCitation":"&lt;sup&gt;8,15,16&lt;/sup&gt;","plainTextFormattedCitation":"8,15,16","previouslyFormattedCitation":"&lt;sup&gt;8,14,15&lt;/sup&gt;"},"properties":{"noteIndex":0},"schema":"https://github.com/citation-style-language/schema/raw/master/csl-citation.json"}</w:instrText>
      </w:r>
      <w:r w:rsidR="00B763E5">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8,15,16</w:t>
      </w:r>
      <w:r w:rsidR="00B763E5">
        <w:rPr>
          <w:rFonts w:ascii="Times New Roman" w:hAnsi="Times New Roman" w:cs="Times New Roman"/>
          <w:bCs/>
          <w:sz w:val="24"/>
          <w:szCs w:val="24"/>
        </w:rPr>
        <w:fldChar w:fldCharType="end"/>
      </w:r>
      <w:r w:rsidR="00B763E5">
        <w:rPr>
          <w:rFonts w:ascii="Times New Roman" w:hAnsi="Times New Roman" w:cs="Times New Roman"/>
          <w:bCs/>
          <w:sz w:val="24"/>
          <w:szCs w:val="24"/>
        </w:rPr>
        <w:t xml:space="preserve"> </w:t>
      </w:r>
      <w:r w:rsidR="0076138E">
        <w:rPr>
          <w:rFonts w:ascii="Times New Roman" w:hAnsi="Times New Roman" w:cs="Times New Roman"/>
          <w:bCs/>
          <w:sz w:val="24"/>
          <w:szCs w:val="24"/>
        </w:rPr>
        <w:t>T</w:t>
      </w:r>
      <w:r w:rsidR="00653ACC">
        <w:rPr>
          <w:rFonts w:ascii="Times New Roman" w:hAnsi="Times New Roman" w:cs="Times New Roman"/>
          <w:bCs/>
          <w:sz w:val="24"/>
          <w:szCs w:val="24"/>
        </w:rPr>
        <w:t xml:space="preserve">he ED is likely to serve as the </w:t>
      </w:r>
      <w:r w:rsidR="0076138E">
        <w:rPr>
          <w:rFonts w:ascii="Times New Roman" w:hAnsi="Times New Roman" w:cs="Times New Roman"/>
          <w:bCs/>
          <w:sz w:val="24"/>
          <w:szCs w:val="24"/>
        </w:rPr>
        <w:t xml:space="preserve">first </w:t>
      </w:r>
      <w:r w:rsidR="00653ACC">
        <w:rPr>
          <w:rFonts w:ascii="Times New Roman" w:hAnsi="Times New Roman" w:cs="Times New Roman"/>
          <w:bCs/>
          <w:sz w:val="24"/>
          <w:szCs w:val="24"/>
        </w:rPr>
        <w:t>entry point into the healthcare system when a child sustains a firearm injury</w:t>
      </w:r>
      <w:r w:rsidR="007A5D0F">
        <w:rPr>
          <w:rFonts w:ascii="Times New Roman" w:hAnsi="Times New Roman" w:cs="Times New Roman"/>
          <w:bCs/>
          <w:sz w:val="24"/>
          <w:szCs w:val="24"/>
        </w:rPr>
        <w:t xml:space="preserve"> or other assault-related injury</w:t>
      </w:r>
      <w:r w:rsidR="00653ACC">
        <w:rPr>
          <w:rFonts w:ascii="Times New Roman" w:hAnsi="Times New Roman" w:cs="Times New Roman"/>
          <w:bCs/>
          <w:sz w:val="24"/>
          <w:szCs w:val="24"/>
        </w:rPr>
        <w:t>.</w:t>
      </w:r>
      <w:r w:rsidR="00C16194">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10.1016/j.lana.2023.100503","ISSN":"2667193X","author":[{"dropping-particle":"","family":"Goel","given":"Ruchika","non-dropping-particle":"","parse-names":false,"suffix":""},{"dropping-particle":"","family":"Zhu","given":"Xianming","non-dropping-particle":"","parse-names":false,"suffix":""},{"dropping-particle":"","family":"Makhani","given":"Sarah","non-dropping-particle":"","parse-names":false,"suffix":""},{"dropping-particle":"","family":"Josephson","given":"Cassandra D.","non-dropping-particle":"","parse-names":false,"suffix":""},{"dropping-particle":"","family":"White","given":"Jodie L.","non-dropping-particle":"","parse-names":false,"suffix":""},{"dropping-particle":"","family":"Karam","given":"Oliver","non-dropping-particle":"","parse-names":false,"suffix":""},{"dropping-particle":"","family":"Nellis","given":"Marianne E.","non-dropping-particle":"","parse-names":false,"suffix":""},{"dropping-particle":"","family":"Gehrie","given":"Eric A.","non-dropping-particle":"","parse-names":false,"suffix":""},{"dropping-particle":"","family":"Sherpa","given":"Mingmar","non-dropping-particle":"","parse-names":false,"suffix":""},{"dropping-particle":"","family":"Crowe","given":"Elizabeth P.","non-dropping-particle":"","parse-names":false,"suffix":""},{"dropping-particle":"","family":"Bloch","given":"Evan M.","non-dropping-particle":"","parse-names":false,"suffix":""},{"dropping-particle":"","family":"Tobian","given":"Aaron A.R.","non-dropping-particle":"","parse-names":false,"suffix":""}],"container-title":"The Lancet Regional Health - Americas","id":"ITEM-1","issued":{"date-parts":[["2023","6"]]},"page":"100503","title":"Pediatric firearm injury related emergency department visits and hospitalizations: a population-based study in the United States","type":"article-journal","volume":"22"},"uris":["http://www.mendeley.com/documents/?uuid=78e48238-1d55-4d9a-bdf8-5cb4bcb8103a"]}],"mendeley":{"formattedCitation":"&lt;sup&gt;17&lt;/sup&gt;","plainTextFormattedCitation":"17","previouslyFormattedCitation":"&lt;sup&gt;16&lt;/sup&gt;"},"properties":{"noteIndex":0},"schema":"https://github.com/citation-style-language/schema/raw/master/csl-citation.json"}</w:instrText>
      </w:r>
      <w:r w:rsidR="00C16194">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17</w:t>
      </w:r>
      <w:r w:rsidR="00C16194">
        <w:rPr>
          <w:rFonts w:ascii="Times New Roman" w:hAnsi="Times New Roman" w:cs="Times New Roman"/>
          <w:bCs/>
          <w:sz w:val="24"/>
          <w:szCs w:val="24"/>
        </w:rPr>
        <w:fldChar w:fldCharType="end"/>
      </w:r>
      <w:r w:rsidR="00C16194">
        <w:rPr>
          <w:rFonts w:ascii="Times New Roman" w:hAnsi="Times New Roman" w:cs="Times New Roman"/>
          <w:bCs/>
          <w:sz w:val="24"/>
          <w:szCs w:val="24"/>
        </w:rPr>
        <w:t xml:space="preserve"> </w:t>
      </w:r>
      <w:r w:rsidR="00BE2CE8">
        <w:rPr>
          <w:rFonts w:ascii="Times New Roman" w:hAnsi="Times New Roman" w:cs="Times New Roman"/>
          <w:bCs/>
          <w:sz w:val="24"/>
          <w:szCs w:val="24"/>
        </w:rPr>
        <w:t>While reducing violent injury recurrence is critical at the time of the initial injury, there is no standardized practice in the ED related to screening or counseling related to injury or violence-related risk factors.</w:t>
      </w:r>
      <w:r w:rsidR="002E2A0D">
        <w:rPr>
          <w:rFonts w:ascii="Times New Roman" w:hAnsi="Times New Roman" w:cs="Times New Roman"/>
          <w:bCs/>
          <w:sz w:val="24"/>
          <w:szCs w:val="24"/>
        </w:rPr>
        <w:t xml:space="preserve"> Though some patients are admitted to the hospital, others may be discharged home</w:t>
      </w:r>
      <w:r w:rsidR="00BE2CE8">
        <w:rPr>
          <w:rFonts w:ascii="Times New Roman" w:hAnsi="Times New Roman" w:cs="Times New Roman"/>
          <w:bCs/>
          <w:sz w:val="24"/>
          <w:szCs w:val="24"/>
        </w:rPr>
        <w:t xml:space="preserve"> </w:t>
      </w:r>
      <w:r w:rsidR="002E2A0D">
        <w:rPr>
          <w:rFonts w:ascii="Times New Roman" w:hAnsi="Times New Roman" w:cs="Times New Roman"/>
          <w:bCs/>
          <w:sz w:val="24"/>
          <w:szCs w:val="24"/>
        </w:rPr>
        <w:t xml:space="preserve">directly from the ED with </w:t>
      </w:r>
      <w:r w:rsidR="00DD34A2">
        <w:rPr>
          <w:rFonts w:ascii="Times New Roman" w:hAnsi="Times New Roman" w:cs="Times New Roman"/>
          <w:bCs/>
          <w:sz w:val="24"/>
          <w:szCs w:val="24"/>
        </w:rPr>
        <w:t>the potential</w:t>
      </w:r>
      <w:r w:rsidR="002E2A0D">
        <w:rPr>
          <w:rFonts w:ascii="Times New Roman" w:hAnsi="Times New Roman" w:cs="Times New Roman"/>
          <w:bCs/>
          <w:sz w:val="24"/>
          <w:szCs w:val="24"/>
        </w:rPr>
        <w:t xml:space="preserve"> </w:t>
      </w:r>
      <w:r w:rsidR="00DD34A2">
        <w:rPr>
          <w:rFonts w:ascii="Times New Roman" w:hAnsi="Times New Roman" w:cs="Times New Roman"/>
          <w:bCs/>
          <w:sz w:val="24"/>
          <w:szCs w:val="24"/>
        </w:rPr>
        <w:t xml:space="preserve">need for both </w:t>
      </w:r>
      <w:r w:rsidR="002E2A0D">
        <w:rPr>
          <w:rFonts w:ascii="Times New Roman" w:hAnsi="Times New Roman" w:cs="Times New Roman"/>
          <w:bCs/>
          <w:sz w:val="24"/>
          <w:szCs w:val="24"/>
        </w:rPr>
        <w:t xml:space="preserve">physical and mental health recovery </w:t>
      </w:r>
      <w:r w:rsidR="00DD34A2">
        <w:rPr>
          <w:rFonts w:ascii="Times New Roman" w:hAnsi="Times New Roman" w:cs="Times New Roman"/>
          <w:bCs/>
          <w:sz w:val="24"/>
          <w:szCs w:val="24"/>
        </w:rPr>
        <w:t xml:space="preserve">support </w:t>
      </w:r>
      <w:r w:rsidR="002E2A0D">
        <w:rPr>
          <w:rFonts w:ascii="Times New Roman" w:hAnsi="Times New Roman" w:cs="Times New Roman"/>
          <w:bCs/>
          <w:sz w:val="24"/>
          <w:szCs w:val="24"/>
        </w:rPr>
        <w:t>ahead.</w:t>
      </w:r>
      <w:r w:rsidR="00783459">
        <w:rPr>
          <w:rFonts w:ascii="Times New Roman" w:hAnsi="Times New Roman" w:cs="Times New Roman"/>
          <w:bCs/>
          <w:sz w:val="24"/>
          <w:szCs w:val="24"/>
        </w:rPr>
        <w:fldChar w:fldCharType="begin" w:fldLock="1"/>
      </w:r>
      <w:r w:rsidR="007A5D0F">
        <w:rPr>
          <w:rFonts w:ascii="Times New Roman" w:hAnsi="Times New Roman" w:cs="Times New Roman"/>
          <w:bCs/>
          <w:sz w:val="24"/>
          <w:szCs w:val="24"/>
        </w:rPr>
        <w:instrText>ADDIN CSL_CITATION {"citationItems":[{"id":"ITEM-1","itemData":{"DOI":"10.1007/s10865-019-00035-2","ISSN":"15733521","PMID":"31367937","abstract":"The long-term consequences of exposure to firearm injury—including suicide, assault, and mass shootings—on children’s mental and physical health is unknown. Using PRISMA-ScR guidelines, we conducted a scoping review of four databases (PubMed, Scopus, PsychINFO, and CJ abstract) between January 1, 1985 and April 2, 2018 for articles describing long-term outcomes of child or adolescent firearm injury exposure (n = 3582). Among included studies (n = 31), most used retrospective cohorts or cross-sectional studies to describe the correlation between firearm injury and post-traumatic stress. A disproportionate number of studies examined the effect of mass shootings, although few of these studies were conducted in the United States and none described the impact of social media. Despite methodologic limitations, youth firearm injury exposure is clearly linked to high rates of post-traumatic stress symptoms and high rates of future injury. Evidence is lacking on best practices for prevention of mental health and behavioral sequelae among youth exposed to firearm injury. Future research should use rigorous methods to identify prevalence, correlates, and intervention strategies for these at-risk youth.","author":[{"dropping-particle":"","family":"Ranney","given":"Megan","non-dropping-particle":"","parse-names":false,"suffix":""},{"dropping-particle":"","family":"Karb","given":"Rebecca","non-dropping-particle":"","parse-names":false,"suffix":""},{"dropping-particle":"","family":"Ehrlich","given":"Peter","non-dropping-particle":"","parse-names":false,"suffix":""},{"dropping-particle":"","family":"Bromwich","given":"Kira","non-dropping-particle":"","parse-names":false,"suffix":""},{"dropping-particle":"","family":"Cunningham","given":"Rebecca","non-dropping-particle":"","parse-names":false,"suffix":""},{"dropping-particle":"","family":"Beidas","given":"Rinad S.","non-dropping-particle":"","parse-names":false,"suffix":""}],"container-title":"Journal of Behavioral Medicine","id":"ITEM-1","issue":"4","issued":{"date-parts":[["2019"]]},"page":"724-740","publisher":"Springer US","title":"What are the long-term consequences of youth exposure to firearm injury, and how do we prevent them? A scoping review","type":"article-journal","volume":"42"},"uris":["http://www.mendeley.com/documents/?uuid=d734fff7-6548-46b8-a948-d768d5ee425a"]}],"mendeley":{"formattedCitation":"&lt;sup&gt;3&lt;/sup&gt;","plainTextFormattedCitation":"3","previouslyFormattedCitation":"&lt;sup&gt;3&lt;/sup&gt;"},"properties":{"noteIndex":0},"schema":"https://github.com/citation-style-language/schema/raw/master/csl-citation.json"}</w:instrText>
      </w:r>
      <w:r w:rsidR="00783459">
        <w:rPr>
          <w:rFonts w:ascii="Times New Roman" w:hAnsi="Times New Roman" w:cs="Times New Roman"/>
          <w:bCs/>
          <w:sz w:val="24"/>
          <w:szCs w:val="24"/>
        </w:rPr>
        <w:fldChar w:fldCharType="separate"/>
      </w:r>
      <w:r w:rsidR="00783459" w:rsidRPr="00783459">
        <w:rPr>
          <w:rFonts w:ascii="Times New Roman" w:hAnsi="Times New Roman" w:cs="Times New Roman"/>
          <w:bCs/>
          <w:noProof/>
          <w:sz w:val="24"/>
          <w:szCs w:val="24"/>
          <w:vertAlign w:val="superscript"/>
        </w:rPr>
        <w:t>3</w:t>
      </w:r>
      <w:r w:rsidR="00783459">
        <w:rPr>
          <w:rFonts w:ascii="Times New Roman" w:hAnsi="Times New Roman" w:cs="Times New Roman"/>
          <w:bCs/>
          <w:sz w:val="24"/>
          <w:szCs w:val="24"/>
        </w:rPr>
        <w:fldChar w:fldCharType="end"/>
      </w:r>
      <w:r w:rsidR="002E2A0D">
        <w:rPr>
          <w:rFonts w:ascii="Times New Roman" w:hAnsi="Times New Roman" w:cs="Times New Roman"/>
          <w:bCs/>
          <w:sz w:val="24"/>
          <w:szCs w:val="24"/>
        </w:rPr>
        <w:t xml:space="preserve"> Importantly</w:t>
      </w:r>
      <w:r w:rsidR="00BE2CE8">
        <w:rPr>
          <w:rFonts w:ascii="Times New Roman" w:hAnsi="Times New Roman" w:cs="Times New Roman"/>
          <w:bCs/>
          <w:sz w:val="24"/>
          <w:szCs w:val="24"/>
        </w:rPr>
        <w:t>, while</w:t>
      </w:r>
      <w:r w:rsidR="00C16194">
        <w:rPr>
          <w:rFonts w:ascii="Times New Roman" w:hAnsi="Times New Roman" w:cs="Times New Roman"/>
          <w:bCs/>
          <w:sz w:val="24"/>
          <w:szCs w:val="24"/>
        </w:rPr>
        <w:t xml:space="preserve"> 1 in 12 children receive a new mental health diagnosis during the</w:t>
      </w:r>
      <w:r w:rsidR="00BE2CE8">
        <w:rPr>
          <w:rFonts w:ascii="Times New Roman" w:hAnsi="Times New Roman" w:cs="Times New Roman"/>
          <w:bCs/>
          <w:sz w:val="24"/>
          <w:szCs w:val="24"/>
        </w:rPr>
        <w:t>ir</w:t>
      </w:r>
      <w:r w:rsidR="00C16194">
        <w:rPr>
          <w:rFonts w:ascii="Times New Roman" w:hAnsi="Times New Roman" w:cs="Times New Roman"/>
          <w:bCs/>
          <w:sz w:val="24"/>
          <w:szCs w:val="24"/>
        </w:rPr>
        <w:t xml:space="preserve"> initial firearm injury encounter, mental health screening in the ED is not universal and many children do not receive mental health services following a firearm injury.</w:t>
      </w:r>
      <w:r w:rsidR="00C16194">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{"citationItems":[{"id":"ITEM-1","itemData":{"DOI":"10.1542/peds.2023-061241","ISSN":"0031-4005","author":[{"dropping-particle":"","family":"Hoffmann","given":"Jennifer A.","non-dropping-particle":"","parse-names":false,"suffix":""},{"dropping-particle":"","family":"Pulcini","given":"Christian D.","non-dropping-particle":"","parse-names":false,"suffix":""},{"dropping-particle":"","family":"Hall","given":"Matt","non-dropping-particle":"","parse-names":false,"suffix":""},{"dropping-particle":"","family":"Souza","given":"Heidi G.","non-dropping-particle":"De","parse-names":false,"suffix":""},{"dropping-particle":"","family":"Alpern","given":"Elizabeth R.","non-dropping-particle":"","parse-names":false,"suffix":""},{"dropping-particle":"","family":"Chaudhary","given":"Sofia","non-dropping-particle":"","parse-names":false,"suffix":""},{"dropping-particle":"","family":"Ehrlich","given":"Peter F.","non-dropping-particle":"","parse-names":false,"suffix":""},{"dropping-particle":"","family":"Fein","given":"Joel A.","non-dropping-particle":"","parse-names":false,"suffix":""},{"dropping-particle":"","family":"Fleegler","given":"Eric W.","non-dropping-particle":"","parse-names":false,"suffix":""},{"dropping-particle":"","family":"Goyal","given":"Monika K.","non-dropping-particle":"","parse-names":false,"suffix":""},{"dropping-particle":"","family":"Hargarten","given":"Stephen","non-dropping-particle":"","parse-names":false,"suffix":""},{"dropping-particle":"","family":"Jeffries","given":"Kristyn N.","non-dropping-particle":"","parse-names":false,"suffix":""},{"dropping-particle":"","family":"Zima","given":"Bonnie T.","non-dropping-particle":"","parse-names":false,"suffix":""}],"container-title":"Pediatrics","id":"ITEM-1","issue":"1","issued":{"date-parts":[["2023","7","1"]]},"title":"Timing of Mental Health Service Use After a Pediatric Firearm Injury","type":"article-journal","volume":"152"},"uris":["http://www.mendeley.com/documents/?uuid=d8b49406-ab89-4184-a60e-df225383f607"]}],"mendeley":{"formattedCitation":"&lt;sup&gt;18&lt;/sup&gt;","plainTextFormattedCitation":"18","previouslyFormattedCitation":"&lt;sup&gt;17&lt;/sup&gt;"},"properties":{"noteIndex":0},"schema":"https://github.com/citation-style-language/schema/raw/master/csl-citation.json"}</w:instrText>
      </w:r>
      <w:r w:rsidR="00C16194">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18</w:t>
      </w:r>
      <w:r w:rsidR="00C16194">
        <w:rPr>
          <w:rFonts w:ascii="Times New Roman" w:hAnsi="Times New Roman" w:cs="Times New Roman"/>
          <w:bCs/>
          <w:sz w:val="24"/>
          <w:szCs w:val="24"/>
        </w:rPr>
        <w:fldChar w:fldCharType="end"/>
      </w:r>
      <w:r w:rsidR="00C16194">
        <w:rPr>
          <w:rFonts w:ascii="Times New Roman" w:hAnsi="Times New Roman" w:cs="Times New Roman"/>
          <w:bCs/>
          <w:sz w:val="24"/>
          <w:szCs w:val="24"/>
        </w:rPr>
        <w:t xml:space="preserve"> </w:t>
      </w:r>
      <w:r w:rsidR="00653ACC">
        <w:rPr>
          <w:rFonts w:ascii="Times New Roman" w:hAnsi="Times New Roman" w:cs="Times New Roman"/>
          <w:bCs/>
          <w:sz w:val="24"/>
          <w:szCs w:val="24"/>
        </w:rPr>
        <w:t>Furthermore, in considering injury prevention from an equity lens</w:t>
      </w:r>
      <w:r w:rsidR="00921BCD">
        <w:rPr>
          <w:rFonts w:ascii="Times New Roman" w:hAnsi="Times New Roman" w:cs="Times New Roman"/>
          <w:bCs/>
          <w:sz w:val="24"/>
          <w:szCs w:val="24"/>
        </w:rPr>
        <w:t>, children</w:t>
      </w:r>
      <w:r w:rsidRPr="003C11DE">
        <w:rPr>
          <w:rFonts w:ascii="Times New Roman" w:hAnsi="Times New Roman" w:cs="Times New Roman"/>
          <w:bCs/>
          <w:sz w:val="24"/>
          <w:szCs w:val="24"/>
        </w:rPr>
        <w:t xml:space="preserve"> from populations less likely to access routine medical care (i.e., those who are uninsured, of lower socioeconomic status, or living in rural areas) may </w:t>
      </w:r>
      <w:r w:rsidRPr="003C11DE">
        <w:rPr>
          <w:rFonts w:ascii="Times New Roman" w:hAnsi="Times New Roman" w:cs="Times New Roman"/>
          <w:bCs/>
          <w:sz w:val="24"/>
          <w:szCs w:val="24"/>
        </w:rPr>
        <w:lastRenderedPageBreak/>
        <w:t>utilize the ED as their sole point of healthcare</w:t>
      </w:r>
      <w:r w:rsidR="00BE2CE8">
        <w:rPr>
          <w:rFonts w:ascii="Times New Roman" w:hAnsi="Times New Roman" w:cs="Times New Roman"/>
          <w:bCs/>
          <w:sz w:val="24"/>
          <w:szCs w:val="24"/>
        </w:rPr>
        <w:t xml:space="preserve">, indicating </w:t>
      </w:r>
      <w:r w:rsidR="00653ACC">
        <w:rPr>
          <w:rFonts w:ascii="Times New Roman" w:hAnsi="Times New Roman" w:cs="Times New Roman"/>
          <w:bCs/>
          <w:sz w:val="24"/>
          <w:szCs w:val="24"/>
        </w:rPr>
        <w:t>the ED may be</w:t>
      </w:r>
      <w:r w:rsidR="00B763E5">
        <w:rPr>
          <w:rFonts w:ascii="Times New Roman" w:hAnsi="Times New Roman" w:cs="Times New Roman"/>
          <w:bCs/>
          <w:sz w:val="24"/>
          <w:szCs w:val="24"/>
        </w:rPr>
        <w:t xml:space="preserve"> </w:t>
      </w:r>
      <w:r w:rsidR="00BE2CE8">
        <w:rPr>
          <w:rFonts w:ascii="Times New Roman" w:hAnsi="Times New Roman" w:cs="Times New Roman"/>
          <w:bCs/>
          <w:sz w:val="24"/>
          <w:szCs w:val="24"/>
        </w:rPr>
        <w:t xml:space="preserve">a rare </w:t>
      </w:r>
      <w:r w:rsidR="00B763E5">
        <w:rPr>
          <w:rFonts w:ascii="Times New Roman" w:hAnsi="Times New Roman" w:cs="Times New Roman"/>
          <w:bCs/>
          <w:sz w:val="24"/>
          <w:szCs w:val="24"/>
        </w:rPr>
        <w:t>opportunity for prevention efforts</w:t>
      </w:r>
      <w:r w:rsidR="00921BCD">
        <w:rPr>
          <w:rFonts w:ascii="Times New Roman" w:hAnsi="Times New Roman" w:cs="Times New Roman"/>
          <w:bCs/>
          <w:sz w:val="24"/>
          <w:szCs w:val="24"/>
        </w:rPr>
        <w:t>.</w:t>
      </w:r>
      <w:r w:rsidRPr="003C11DE">
        <w:rPr>
          <w:rFonts w:ascii="Times New Roman" w:hAnsi="Times New Roman" w:cs="Times New Roman"/>
          <w:bCs/>
          <w:sz w:val="24"/>
          <w:szCs w:val="24"/>
        </w:rPr>
        <w:fldChar w:fldCharType="begin" w:fldLock="1"/>
      </w:r>
      <w:r w:rsidR="00FB3252">
        <w:rPr>
          <w:rFonts w:ascii="Times New Roman" w:hAnsi="Times New Roman" w:cs="Times New Roman"/>
          <w:bCs/>
          <w:sz w:val="24"/>
          <w:szCs w:val="24"/>
        </w:rPr>
        <w:instrText>ADDIN CSL_CITATION {"citationItems":[{"id":"ITEM-1","itemData":{"DOI":"10.1001/archpedi.154.4.361","ISSN":"10724710","abstract":"Objective: To examine the factors associated with use of the emergency department (ED) as the only source of health care among adolescents. Design: Analyses of the 1997 Commonwealth Fund Survey of the Health of Adolescent Girls, a nationally representative sample of 6748 in-school male and female adolescents in 5th through 12th grade. The χ2 statistics and logistic regression analyses were computed with the use of SUDAAN. Results: Overall, 4.6% of the adolescents in the survey, or 1.5 million adolescents in the United States, reported that the ED was their usual source of health care. In multivariate models, factors associated with the use of the ED included male sex, African American ethnicity, fewer financial resources, and living in a rural area. Adolescents with higher levels of risky behaviors, a history of physical or sexual abuse, and higher depression scores were all more likely to use the ED as their usual source of care. Adolescents who reported using the ED as their usual care source were also less likely to have had regular well visits and were more likely to report having missed needed care than those with other sources of primary care. Conclusions: Adolescents who use the ED as their usual source of care are often from vulnerable populations. Many have special mental or physical needs that are unlikely to be met with ED visits only, and they are likely to have missed care they needed. Creating linkages between EDS and other services could help at-risk adolescents identify and use more appropriate sources of primary care.","author":[{"dropping-particle":"","family":"Wilson","given":"Karen M.","non-dropping-particle":"","parse-names":false,"suffix":""},{"dropping-particle":"","family":"Klein","given":"Jonathan D.","non-dropping-particle":"","parse-names":false,"suffix":""}],"container-title":"Archives of Pediatrics and Adolescent Medicine","id":"ITEM-1","issue":"4","issued":{"date-parts":[["2000"]]},"page":"361-365","title":"Adolescents who use the emergency department as their usual source of care","type":"article-journal","volume":"154"},"uris":["http://www.mendeley.com/documents/?uuid=837b58cf-97da-48db-96d9-753d53382a13"]}],"mendeley":{"formattedCitation":"&lt;sup&gt;19&lt;/sup&gt;","plainTextFormattedCitation":"19","previouslyFormattedCitation":"&lt;sup&gt;18&lt;/sup&gt;"},"properties":{"noteIndex":0},"schema":"https://github.com/citation-style-language/schema/raw/master/csl-citation.json"}</w:instrText>
      </w:r>
      <w:r w:rsidRPr="003C11DE">
        <w:rPr>
          <w:rFonts w:ascii="Times New Roman" w:hAnsi="Times New Roman" w:cs="Times New Roman"/>
          <w:bCs/>
          <w:sz w:val="24"/>
          <w:szCs w:val="24"/>
        </w:rPr>
        <w:fldChar w:fldCharType="separate"/>
      </w:r>
      <w:r w:rsidR="00FB3252" w:rsidRPr="00FB3252">
        <w:rPr>
          <w:rFonts w:ascii="Times New Roman" w:hAnsi="Times New Roman" w:cs="Times New Roman"/>
          <w:bCs/>
          <w:noProof/>
          <w:sz w:val="24"/>
          <w:szCs w:val="24"/>
          <w:vertAlign w:val="superscript"/>
        </w:rPr>
        <w:t>19</w:t>
      </w:r>
      <w:r w:rsidRPr="003C11DE">
        <w:rPr>
          <w:rFonts w:ascii="Times New Roman" w:hAnsi="Times New Roman" w:cs="Times New Roman"/>
          <w:bCs/>
          <w:sz w:val="24"/>
          <w:szCs w:val="24"/>
        </w:rPr>
        <w:fldChar w:fldCharType="end"/>
      </w:r>
      <w:r w:rsidR="00653ACC">
        <w:rPr>
          <w:rFonts w:ascii="Times New Roman" w:hAnsi="Times New Roman" w:cs="Times New Roman"/>
          <w:bCs/>
          <w:sz w:val="24"/>
          <w:szCs w:val="24"/>
        </w:rPr>
        <w:t xml:space="preserve"> A comprehensive understanding of the current landscape of ED-based interventions for children with firearm injuries </w:t>
      </w:r>
      <w:r w:rsidR="003E71E3">
        <w:rPr>
          <w:rFonts w:ascii="Times New Roman" w:hAnsi="Times New Roman" w:cs="Times New Roman"/>
          <w:bCs/>
          <w:sz w:val="24"/>
          <w:szCs w:val="24"/>
        </w:rPr>
        <w:t xml:space="preserve">and other assault-related injuries </w:t>
      </w:r>
      <w:r w:rsidR="00653ACC">
        <w:rPr>
          <w:rFonts w:ascii="Times New Roman" w:hAnsi="Times New Roman" w:cs="Times New Roman"/>
          <w:bCs/>
          <w:sz w:val="24"/>
          <w:szCs w:val="24"/>
        </w:rPr>
        <w:t xml:space="preserve">will help </w:t>
      </w:r>
      <w:r w:rsidR="00FE0365">
        <w:rPr>
          <w:rFonts w:ascii="Times New Roman" w:hAnsi="Times New Roman" w:cs="Times New Roman"/>
          <w:bCs/>
          <w:sz w:val="24"/>
          <w:szCs w:val="24"/>
        </w:rPr>
        <w:t xml:space="preserve">identify gaps in the literature to inform future directions in </w:t>
      </w:r>
      <w:r w:rsidR="00B31B27">
        <w:rPr>
          <w:rFonts w:ascii="Times New Roman" w:hAnsi="Times New Roman" w:cs="Times New Roman"/>
          <w:bCs/>
          <w:sz w:val="24"/>
          <w:szCs w:val="24"/>
        </w:rPr>
        <w:t xml:space="preserve">pediatric </w:t>
      </w:r>
      <w:r w:rsidR="00FE0365">
        <w:rPr>
          <w:rFonts w:ascii="Times New Roman" w:hAnsi="Times New Roman" w:cs="Times New Roman"/>
          <w:bCs/>
          <w:sz w:val="24"/>
          <w:szCs w:val="24"/>
        </w:rPr>
        <w:t xml:space="preserve">firearm injury prevention. </w:t>
      </w:r>
      <w:r w:rsidR="00653ACC">
        <w:rPr>
          <w:rFonts w:ascii="Times New Roman" w:hAnsi="Times New Roman" w:cs="Times New Roman"/>
          <w:bCs/>
          <w:sz w:val="24"/>
          <w:szCs w:val="24"/>
        </w:rPr>
        <w:t xml:space="preserve"> </w:t>
      </w:r>
    </w:p>
    <w:p w14:paraId="50C7FFAB" w14:textId="77777777" w:rsidR="003C11DE" w:rsidRPr="00C400EC" w:rsidRDefault="003C11DE">
      <w:pPr>
        <w:spacing w:after="0" w:line="240" w:lineRule="auto"/>
        <w:rPr>
          <w:rFonts w:ascii="Times New Roman" w:hAnsi="Times New Roman" w:cs="Times New Roman"/>
          <w:bCs/>
          <w:sz w:val="24"/>
          <w:szCs w:val="24"/>
        </w:rPr>
      </w:pPr>
    </w:p>
    <w:p w14:paraId="56180923" w14:textId="24659E7D" w:rsidR="00CA2172" w:rsidRPr="00C400EC" w:rsidRDefault="00CA2172">
      <w:pPr>
        <w:spacing w:after="0" w:line="240" w:lineRule="auto"/>
        <w:rPr>
          <w:rFonts w:ascii="Times New Roman" w:hAnsi="Times New Roman" w:cs="Times New Roman"/>
          <w:b/>
          <w:sz w:val="24"/>
          <w:szCs w:val="24"/>
        </w:rPr>
      </w:pPr>
      <w:r w:rsidRPr="00C400EC">
        <w:rPr>
          <w:rFonts w:ascii="Times New Roman" w:hAnsi="Times New Roman" w:cs="Times New Roman"/>
          <w:b/>
          <w:sz w:val="24"/>
          <w:szCs w:val="24"/>
        </w:rPr>
        <w:t xml:space="preserve">Objectives </w:t>
      </w:r>
    </w:p>
    <w:p w14:paraId="5F3D140A" w14:textId="0C5B12D2" w:rsidR="00CA2172" w:rsidRPr="00CA2172" w:rsidRDefault="00CA2172" w:rsidP="00CA2172">
      <w:pPr>
        <w:spacing w:after="0" w:line="240" w:lineRule="auto"/>
        <w:rPr>
          <w:rFonts w:ascii="Times New Roman" w:hAnsi="Times New Roman" w:cs="Times New Roman"/>
          <w:bCs/>
          <w:sz w:val="24"/>
          <w:szCs w:val="24"/>
        </w:rPr>
      </w:pPr>
      <w:r w:rsidRPr="00C400EC">
        <w:rPr>
          <w:rFonts w:ascii="Times New Roman" w:hAnsi="Times New Roman" w:cs="Times New Roman"/>
          <w:bCs/>
          <w:sz w:val="24"/>
          <w:szCs w:val="24"/>
        </w:rPr>
        <w:t>This scoping review aims to</w:t>
      </w:r>
      <w:r w:rsidR="00653ACC">
        <w:rPr>
          <w:rFonts w:ascii="Times New Roman" w:hAnsi="Times New Roman" w:cs="Times New Roman"/>
          <w:bCs/>
          <w:sz w:val="24"/>
          <w:szCs w:val="24"/>
        </w:rPr>
        <w:t xml:space="preserve"> </w:t>
      </w:r>
      <w:r w:rsidRPr="00C400EC">
        <w:rPr>
          <w:rFonts w:ascii="Times New Roman" w:hAnsi="Times New Roman" w:cs="Times New Roman"/>
          <w:bCs/>
          <w:sz w:val="24"/>
          <w:szCs w:val="24"/>
        </w:rPr>
        <w:t xml:space="preserve">describe what </w:t>
      </w:r>
      <w:r w:rsidRPr="00CA2172">
        <w:rPr>
          <w:rFonts w:ascii="Times New Roman" w:hAnsi="Times New Roman" w:cs="Times New Roman"/>
          <w:bCs/>
          <w:sz w:val="24"/>
          <w:szCs w:val="24"/>
        </w:rPr>
        <w:t>interventions are currently being utilized for</w:t>
      </w:r>
      <w:r w:rsidR="00170360">
        <w:rPr>
          <w:rFonts w:ascii="Times New Roman" w:hAnsi="Times New Roman" w:cs="Times New Roman"/>
          <w:bCs/>
          <w:sz w:val="24"/>
          <w:szCs w:val="24"/>
        </w:rPr>
        <w:t xml:space="preserve"> firearm-injured youth and </w:t>
      </w:r>
      <w:r w:rsidR="003E71E3">
        <w:rPr>
          <w:rFonts w:ascii="Times New Roman" w:hAnsi="Times New Roman" w:cs="Times New Roman"/>
          <w:bCs/>
          <w:sz w:val="24"/>
          <w:szCs w:val="24"/>
        </w:rPr>
        <w:t>assault-injured youth</w:t>
      </w:r>
      <w:r w:rsidRPr="00CA2172">
        <w:rPr>
          <w:rFonts w:ascii="Times New Roman" w:hAnsi="Times New Roman" w:cs="Times New Roman"/>
          <w:bCs/>
          <w:sz w:val="24"/>
          <w:szCs w:val="24"/>
        </w:rPr>
        <w:t xml:space="preserve"> presenting </w:t>
      </w:r>
      <w:r w:rsidRPr="00C400EC">
        <w:rPr>
          <w:rFonts w:ascii="Times New Roman" w:hAnsi="Times New Roman" w:cs="Times New Roman"/>
          <w:bCs/>
          <w:sz w:val="24"/>
          <w:szCs w:val="24"/>
        </w:rPr>
        <w:t xml:space="preserve">to the Emergency Department. </w:t>
      </w:r>
      <w:r w:rsidRPr="00CA2172">
        <w:rPr>
          <w:rFonts w:ascii="Times New Roman" w:hAnsi="Times New Roman" w:cs="Times New Roman"/>
          <w:bCs/>
          <w:sz w:val="24"/>
          <w:szCs w:val="24"/>
        </w:rPr>
        <w:t xml:space="preserve"> </w:t>
      </w:r>
    </w:p>
    <w:p w14:paraId="1CBB8A5D" w14:textId="77777777" w:rsidR="00CA2172" w:rsidRPr="00C400EC" w:rsidRDefault="00CA2172">
      <w:pPr>
        <w:spacing w:after="0" w:line="240" w:lineRule="auto"/>
        <w:rPr>
          <w:rFonts w:ascii="Times New Roman" w:hAnsi="Times New Roman" w:cs="Times New Roman"/>
          <w:bCs/>
          <w:sz w:val="24"/>
          <w:szCs w:val="24"/>
        </w:rPr>
      </w:pPr>
    </w:p>
    <w:p w14:paraId="4D463C65" w14:textId="77777777" w:rsidR="00CA2172" w:rsidRPr="00CA2172" w:rsidRDefault="00CA2172" w:rsidP="00CA2172">
      <w:pPr>
        <w:spacing w:after="0" w:line="240" w:lineRule="auto"/>
        <w:rPr>
          <w:rFonts w:ascii="Times New Roman" w:hAnsi="Times New Roman" w:cs="Times New Roman"/>
          <w:b/>
          <w:sz w:val="24"/>
          <w:szCs w:val="24"/>
        </w:rPr>
      </w:pPr>
      <w:r w:rsidRPr="00CA2172">
        <w:rPr>
          <w:rFonts w:ascii="Times New Roman" w:hAnsi="Times New Roman" w:cs="Times New Roman"/>
          <w:b/>
          <w:sz w:val="24"/>
          <w:szCs w:val="24"/>
        </w:rPr>
        <w:t>Registration</w:t>
      </w:r>
    </w:p>
    <w:p w14:paraId="34AFCF93" w14:textId="51397400" w:rsidR="00810072" w:rsidRPr="00C400EC" w:rsidRDefault="00CA2172" w:rsidP="00724E79">
      <w:pPr>
        <w:spacing w:after="0" w:line="240" w:lineRule="auto"/>
        <w:rPr>
          <w:rFonts w:ascii="Times New Roman" w:hAnsi="Times New Roman" w:cs="Times New Roman"/>
          <w:sz w:val="24"/>
          <w:szCs w:val="24"/>
        </w:rPr>
      </w:pPr>
      <w:r w:rsidRPr="00CA2172">
        <w:rPr>
          <w:rFonts w:ascii="Times New Roman" w:hAnsi="Times New Roman" w:cs="Times New Roman"/>
          <w:sz w:val="24"/>
          <w:szCs w:val="24"/>
        </w:rPr>
        <w:t>Our protocol was drafted using the Preferred Reporting Items for Systematic reviews and Meta-Analyses extension for Scoping Reviews (PRISMA-</w:t>
      </w:r>
      <w:proofErr w:type="spellStart"/>
      <w:r w:rsidRPr="00CA2172">
        <w:rPr>
          <w:rFonts w:ascii="Times New Roman" w:hAnsi="Times New Roman" w:cs="Times New Roman"/>
          <w:sz w:val="24"/>
          <w:szCs w:val="24"/>
        </w:rPr>
        <w:t>ScR</w:t>
      </w:r>
      <w:proofErr w:type="spellEnd"/>
      <w:r w:rsidRPr="00CA2172">
        <w:rPr>
          <w:rFonts w:ascii="Times New Roman" w:hAnsi="Times New Roman" w:cs="Times New Roman"/>
          <w:sz w:val="24"/>
          <w:szCs w:val="24"/>
        </w:rPr>
        <w:t xml:space="preserve">) Checklist. All authors reviewed the protocol prior to completion. The protocol will be registered to </w:t>
      </w:r>
      <w:r w:rsidR="00C65CFD">
        <w:rPr>
          <w:rFonts w:ascii="Times New Roman" w:hAnsi="Times New Roman" w:cs="Times New Roman"/>
          <w:sz w:val="24"/>
          <w:szCs w:val="24"/>
        </w:rPr>
        <w:t xml:space="preserve">Prism, </w:t>
      </w:r>
      <w:r w:rsidRPr="00CA2172">
        <w:rPr>
          <w:rFonts w:ascii="Times New Roman" w:hAnsi="Times New Roman" w:cs="Times New Roman"/>
          <w:sz w:val="24"/>
          <w:szCs w:val="24"/>
        </w:rPr>
        <w:t>Northwestern University’s</w:t>
      </w:r>
      <w:r w:rsidR="00A17137">
        <w:rPr>
          <w:rFonts w:ascii="Times New Roman" w:hAnsi="Times New Roman" w:cs="Times New Roman"/>
          <w:sz w:val="24"/>
          <w:szCs w:val="24"/>
        </w:rPr>
        <w:t xml:space="preserve"> digital institutional repository</w:t>
      </w:r>
      <w:r w:rsidRPr="00CA2172">
        <w:rPr>
          <w:rFonts w:ascii="Times New Roman" w:hAnsi="Times New Roman" w:cs="Times New Roman"/>
          <w:sz w:val="24"/>
          <w:szCs w:val="24"/>
        </w:rPr>
        <w:t xml:space="preserve">. </w:t>
      </w:r>
    </w:p>
    <w:p w14:paraId="57BAFDC3" w14:textId="77777777" w:rsidR="00810072" w:rsidRPr="00C400EC" w:rsidRDefault="00810072" w:rsidP="00810072">
      <w:pPr>
        <w:spacing w:after="0" w:line="240" w:lineRule="auto"/>
        <w:rPr>
          <w:rFonts w:ascii="Times New Roman" w:hAnsi="Times New Roman" w:cs="Times New Roman"/>
          <w:sz w:val="24"/>
          <w:szCs w:val="24"/>
        </w:rPr>
      </w:pPr>
    </w:p>
    <w:p w14:paraId="6D7213D5" w14:textId="1E1DF900" w:rsidR="00810072" w:rsidRPr="00C400EC" w:rsidRDefault="00810072" w:rsidP="00810072">
      <w:pPr>
        <w:spacing w:after="0" w:line="240" w:lineRule="auto"/>
        <w:rPr>
          <w:rFonts w:ascii="Times New Roman" w:hAnsi="Times New Roman" w:cs="Times New Roman"/>
          <w:b/>
          <w:sz w:val="24"/>
          <w:szCs w:val="24"/>
        </w:rPr>
      </w:pPr>
      <w:r w:rsidRPr="00C400EC">
        <w:rPr>
          <w:rFonts w:ascii="Times New Roman" w:hAnsi="Times New Roman" w:cs="Times New Roman"/>
          <w:b/>
          <w:sz w:val="24"/>
          <w:szCs w:val="24"/>
        </w:rPr>
        <w:t xml:space="preserve">Methods </w:t>
      </w:r>
    </w:p>
    <w:p w14:paraId="3BC82764" w14:textId="77777777" w:rsidR="00C400EC" w:rsidRPr="00C400EC" w:rsidRDefault="00C400EC" w:rsidP="00810072">
      <w:pPr>
        <w:spacing w:after="0" w:line="240" w:lineRule="auto"/>
        <w:rPr>
          <w:rFonts w:ascii="Times New Roman" w:hAnsi="Times New Roman" w:cs="Times New Roman"/>
          <w:sz w:val="24"/>
          <w:szCs w:val="24"/>
        </w:rPr>
      </w:pPr>
    </w:p>
    <w:p w14:paraId="63B1E182" w14:textId="77777777" w:rsidR="00CA2172" w:rsidRPr="00C400EC" w:rsidRDefault="00CA2172" w:rsidP="00CA21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Information Sources:</w:t>
      </w:r>
    </w:p>
    <w:p w14:paraId="3A251690" w14:textId="77777777" w:rsidR="00CA2172" w:rsidRPr="00C400EC" w:rsidRDefault="00CA2172" w:rsidP="00CA2172">
      <w:pPr>
        <w:spacing w:after="0" w:line="240" w:lineRule="auto"/>
        <w:rPr>
          <w:rFonts w:ascii="Times New Roman" w:hAnsi="Times New Roman" w:cs="Times New Roman"/>
          <w:bCs/>
          <w:iCs/>
          <w:sz w:val="24"/>
          <w:szCs w:val="24"/>
        </w:rPr>
      </w:pPr>
      <w:r w:rsidRPr="00C400EC">
        <w:rPr>
          <w:rFonts w:ascii="Times New Roman" w:hAnsi="Times New Roman" w:cs="Times New Roman"/>
          <w:bCs/>
          <w:iCs/>
          <w:sz w:val="24"/>
          <w:szCs w:val="24"/>
        </w:rPr>
        <w:t>We will search the following databases from date of inception to present:</w:t>
      </w:r>
    </w:p>
    <w:p w14:paraId="3BDF6017" w14:textId="20205B2B" w:rsidR="00CA2172" w:rsidRPr="00C400EC" w:rsidRDefault="00CA2172" w:rsidP="00CA2172">
      <w:pPr>
        <w:pStyle w:val="ListParagraph"/>
        <w:numPr>
          <w:ilvl w:val="0"/>
          <w:numId w:val="7"/>
        </w:numPr>
        <w:spacing w:after="0" w:line="240" w:lineRule="auto"/>
        <w:rPr>
          <w:rFonts w:ascii="Times New Roman" w:hAnsi="Times New Roman" w:cs="Times New Roman"/>
          <w:sz w:val="24"/>
          <w:szCs w:val="24"/>
        </w:rPr>
      </w:pPr>
      <w:r w:rsidRPr="00C400EC">
        <w:rPr>
          <w:rFonts w:ascii="Times New Roman" w:hAnsi="Times New Roman" w:cs="Times New Roman"/>
          <w:sz w:val="24"/>
          <w:szCs w:val="24"/>
        </w:rPr>
        <w:t>Medline</w:t>
      </w:r>
      <w:r w:rsidR="006E01AF">
        <w:rPr>
          <w:rFonts w:ascii="Times New Roman" w:hAnsi="Times New Roman" w:cs="Times New Roman"/>
          <w:sz w:val="24"/>
          <w:szCs w:val="24"/>
        </w:rPr>
        <w:t>/OVID</w:t>
      </w:r>
    </w:p>
    <w:p w14:paraId="03761AAA" w14:textId="1B296520" w:rsidR="00CA2172" w:rsidRPr="00C400EC" w:rsidRDefault="00CA2172" w:rsidP="00CA2172">
      <w:pPr>
        <w:pStyle w:val="ListParagraph"/>
        <w:numPr>
          <w:ilvl w:val="0"/>
          <w:numId w:val="7"/>
        </w:numPr>
        <w:spacing w:after="0" w:line="240" w:lineRule="auto"/>
        <w:rPr>
          <w:rFonts w:ascii="Times New Roman" w:hAnsi="Times New Roman" w:cs="Times New Roman"/>
          <w:sz w:val="24"/>
          <w:szCs w:val="24"/>
        </w:rPr>
      </w:pPr>
      <w:r w:rsidRPr="00C400EC">
        <w:rPr>
          <w:rFonts w:ascii="Times New Roman" w:hAnsi="Times New Roman" w:cs="Times New Roman"/>
          <w:sz w:val="24"/>
          <w:szCs w:val="24"/>
        </w:rPr>
        <w:t xml:space="preserve">The Cochrane Library </w:t>
      </w:r>
    </w:p>
    <w:p w14:paraId="519F3E17" w14:textId="1FFEB629" w:rsidR="001F026B" w:rsidRDefault="001F4042"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Embase</w:t>
      </w:r>
    </w:p>
    <w:p w14:paraId="72DED6FA" w14:textId="2BF9B16A" w:rsidR="00D44D5E" w:rsidRDefault="00D44D5E"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 of Science </w:t>
      </w:r>
    </w:p>
    <w:p w14:paraId="2517FBB6" w14:textId="3EF44A2B" w:rsidR="009D185C" w:rsidRDefault="007D29DE" w:rsidP="0081007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CINAHL</w:t>
      </w:r>
    </w:p>
    <w:p w14:paraId="3EF223FD" w14:textId="4A8B30B6" w:rsidR="007D29DE" w:rsidRDefault="007D29DE" w:rsidP="00810072">
      <w:pPr>
        <w:pStyle w:val="ListParagraph"/>
        <w:numPr>
          <w:ilvl w:val="0"/>
          <w:numId w:val="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PsycInfo</w:t>
      </w:r>
      <w:proofErr w:type="spellEnd"/>
    </w:p>
    <w:p w14:paraId="1757D573" w14:textId="77777777" w:rsidR="00857E96" w:rsidRPr="00C400EC" w:rsidRDefault="00857E96" w:rsidP="00810072">
      <w:pPr>
        <w:spacing w:after="0" w:line="240" w:lineRule="auto"/>
        <w:rPr>
          <w:rFonts w:ascii="Times New Roman" w:hAnsi="Times New Roman" w:cs="Times New Roman"/>
          <w:b/>
          <w:sz w:val="24"/>
          <w:szCs w:val="24"/>
        </w:rPr>
      </w:pPr>
    </w:p>
    <w:p w14:paraId="0150CD45" w14:textId="0D0603C9" w:rsidR="00AB0AF2" w:rsidRDefault="00810072" w:rsidP="00810072">
      <w:pPr>
        <w:spacing w:after="0" w:line="240" w:lineRule="auto"/>
        <w:rPr>
          <w:rFonts w:ascii="Times New Roman" w:hAnsi="Times New Roman" w:cs="Times New Roman"/>
          <w:bCs/>
          <w:i/>
          <w:sz w:val="24"/>
          <w:szCs w:val="24"/>
        </w:rPr>
      </w:pPr>
      <w:r w:rsidRPr="00C400EC">
        <w:rPr>
          <w:rFonts w:ascii="Times New Roman" w:hAnsi="Times New Roman" w:cs="Times New Roman"/>
          <w:b/>
          <w:i/>
          <w:sz w:val="24"/>
          <w:szCs w:val="24"/>
        </w:rPr>
        <w:t>Eligibility Criteria:</w:t>
      </w:r>
      <w:r w:rsidR="00C54704">
        <w:rPr>
          <w:rFonts w:ascii="Times New Roman" w:hAnsi="Times New Roman" w:cs="Times New Roman"/>
          <w:b/>
          <w:i/>
          <w:sz w:val="24"/>
          <w:szCs w:val="24"/>
        </w:rPr>
        <w:t xml:space="preserve"> </w:t>
      </w:r>
    </w:p>
    <w:p w14:paraId="39A47783" w14:textId="77777777" w:rsidR="00917EAB" w:rsidRDefault="00917EAB" w:rsidP="00810072">
      <w:pPr>
        <w:spacing w:after="0" w:line="240" w:lineRule="auto"/>
        <w:rPr>
          <w:rFonts w:ascii="Times New Roman" w:hAnsi="Times New Roman" w:cs="Times New Roman"/>
          <w:bCs/>
          <w:i/>
          <w:sz w:val="24"/>
          <w:szCs w:val="24"/>
        </w:rPr>
      </w:pPr>
    </w:p>
    <w:p w14:paraId="26A1D7DF" w14:textId="14DCDB5D" w:rsidR="006E01AF" w:rsidRPr="006E01AF" w:rsidRDefault="006E01AF" w:rsidP="00AC71A9">
      <w:pPr>
        <w:spacing w:after="0" w:line="240" w:lineRule="auto"/>
        <w:ind w:firstLine="720"/>
        <w:rPr>
          <w:rFonts w:ascii="Times New Roman" w:hAnsi="Times New Roman" w:cs="Times New Roman"/>
          <w:bCs/>
          <w:iCs/>
          <w:sz w:val="24"/>
          <w:szCs w:val="24"/>
        </w:rPr>
      </w:pPr>
      <w:r w:rsidRPr="00AC71A9">
        <w:rPr>
          <w:rFonts w:ascii="Times New Roman" w:hAnsi="Times New Roman" w:cs="Times New Roman"/>
          <w:bCs/>
          <w:iCs/>
          <w:sz w:val="24"/>
          <w:szCs w:val="24"/>
          <w:u w:val="single"/>
        </w:rPr>
        <w:t>Study design</w:t>
      </w:r>
      <w:r>
        <w:rPr>
          <w:rFonts w:ascii="Times New Roman" w:hAnsi="Times New Roman" w:cs="Times New Roman"/>
          <w:bCs/>
          <w:iCs/>
          <w:sz w:val="24"/>
          <w:szCs w:val="24"/>
        </w:rPr>
        <w:t xml:space="preserve">: </w:t>
      </w:r>
      <w:r w:rsidR="00D87A6E">
        <w:rPr>
          <w:rFonts w:ascii="Times New Roman" w:hAnsi="Times New Roman" w:cs="Times New Roman"/>
          <w:bCs/>
          <w:iCs/>
          <w:sz w:val="24"/>
          <w:szCs w:val="24"/>
        </w:rPr>
        <w:t xml:space="preserve">We </w:t>
      </w:r>
      <w:r w:rsidR="00FE3061">
        <w:rPr>
          <w:rFonts w:ascii="Times New Roman" w:hAnsi="Times New Roman" w:cs="Times New Roman"/>
          <w:bCs/>
          <w:iCs/>
          <w:sz w:val="24"/>
          <w:szCs w:val="24"/>
        </w:rPr>
        <w:t>will include</w:t>
      </w:r>
      <w:r w:rsidR="00D87A6E">
        <w:rPr>
          <w:rFonts w:ascii="Times New Roman" w:hAnsi="Times New Roman" w:cs="Times New Roman"/>
          <w:bCs/>
          <w:iCs/>
          <w:sz w:val="24"/>
          <w:szCs w:val="24"/>
        </w:rPr>
        <w:t xml:space="preserve"> original scientific articles of any study design including r</w:t>
      </w:r>
      <w:r w:rsidR="00AC71A9">
        <w:rPr>
          <w:rFonts w:ascii="Times New Roman" w:hAnsi="Times New Roman" w:cs="Times New Roman"/>
          <w:bCs/>
          <w:iCs/>
          <w:sz w:val="24"/>
          <w:szCs w:val="24"/>
        </w:rPr>
        <w:t>andomized-controlled trials, clinical trials</w:t>
      </w:r>
      <w:r w:rsidR="00A75ABC">
        <w:rPr>
          <w:rFonts w:ascii="Times New Roman" w:hAnsi="Times New Roman" w:cs="Times New Roman"/>
          <w:bCs/>
          <w:iCs/>
          <w:sz w:val="24"/>
          <w:szCs w:val="24"/>
        </w:rPr>
        <w:t>,</w:t>
      </w:r>
      <w:r w:rsidR="00AC71A9">
        <w:rPr>
          <w:rFonts w:ascii="Times New Roman" w:hAnsi="Times New Roman" w:cs="Times New Roman"/>
          <w:bCs/>
          <w:iCs/>
          <w:sz w:val="24"/>
          <w:szCs w:val="24"/>
        </w:rPr>
        <w:t xml:space="preserve"> and observational studies</w:t>
      </w:r>
      <w:r w:rsidR="00D87A6E">
        <w:rPr>
          <w:rFonts w:ascii="Times New Roman" w:hAnsi="Times New Roman" w:cs="Times New Roman"/>
          <w:bCs/>
          <w:iCs/>
          <w:sz w:val="24"/>
          <w:szCs w:val="24"/>
        </w:rPr>
        <w:t xml:space="preserve"> such as</w:t>
      </w:r>
      <w:r w:rsidR="00AC71A9">
        <w:rPr>
          <w:rFonts w:ascii="Times New Roman" w:hAnsi="Times New Roman" w:cs="Times New Roman"/>
          <w:bCs/>
          <w:iCs/>
          <w:sz w:val="24"/>
          <w:szCs w:val="24"/>
        </w:rPr>
        <w:t xml:space="preserve"> case-control, prospective cohort</w:t>
      </w:r>
      <w:r w:rsidR="00B763E5">
        <w:rPr>
          <w:rFonts w:ascii="Times New Roman" w:hAnsi="Times New Roman" w:cs="Times New Roman"/>
          <w:bCs/>
          <w:iCs/>
          <w:sz w:val="24"/>
          <w:szCs w:val="24"/>
        </w:rPr>
        <w:t>, and cross-sectional</w:t>
      </w:r>
      <w:r w:rsidR="00AC71A9">
        <w:rPr>
          <w:rFonts w:ascii="Times New Roman" w:hAnsi="Times New Roman" w:cs="Times New Roman"/>
          <w:bCs/>
          <w:iCs/>
          <w:sz w:val="24"/>
          <w:szCs w:val="24"/>
        </w:rPr>
        <w:t xml:space="preserve"> studies. </w:t>
      </w:r>
      <w:r w:rsidRPr="006E01AF">
        <w:rPr>
          <w:rFonts w:ascii="Times New Roman" w:hAnsi="Times New Roman" w:cs="Times New Roman"/>
          <w:bCs/>
          <w:iCs/>
          <w:sz w:val="24"/>
          <w:szCs w:val="24"/>
        </w:rPr>
        <w:t xml:space="preserve">We will </w:t>
      </w:r>
      <w:r w:rsidR="00AC71A9">
        <w:rPr>
          <w:rFonts w:ascii="Times New Roman" w:hAnsi="Times New Roman" w:cs="Times New Roman"/>
          <w:bCs/>
          <w:iCs/>
          <w:sz w:val="24"/>
          <w:szCs w:val="24"/>
        </w:rPr>
        <w:t xml:space="preserve">also </w:t>
      </w:r>
      <w:r w:rsidRPr="006E01AF">
        <w:rPr>
          <w:rFonts w:ascii="Times New Roman" w:hAnsi="Times New Roman" w:cs="Times New Roman"/>
          <w:bCs/>
          <w:iCs/>
          <w:sz w:val="24"/>
          <w:szCs w:val="24"/>
        </w:rPr>
        <w:t xml:space="preserve">include </w:t>
      </w:r>
      <w:r>
        <w:rPr>
          <w:rFonts w:ascii="Times New Roman" w:hAnsi="Times New Roman" w:cs="Times New Roman"/>
          <w:bCs/>
          <w:iCs/>
          <w:sz w:val="24"/>
          <w:szCs w:val="24"/>
        </w:rPr>
        <w:t xml:space="preserve">conference proceedings </w:t>
      </w:r>
      <w:r w:rsidR="00AC71A9">
        <w:rPr>
          <w:rFonts w:ascii="Times New Roman" w:hAnsi="Times New Roman" w:cs="Times New Roman"/>
          <w:bCs/>
          <w:iCs/>
          <w:sz w:val="24"/>
          <w:szCs w:val="24"/>
        </w:rPr>
        <w:t>given the value</w:t>
      </w:r>
      <w:r>
        <w:rPr>
          <w:rFonts w:ascii="Times New Roman" w:hAnsi="Times New Roman" w:cs="Times New Roman"/>
          <w:bCs/>
          <w:iCs/>
          <w:sz w:val="24"/>
          <w:szCs w:val="24"/>
        </w:rPr>
        <w:t xml:space="preserve"> </w:t>
      </w:r>
      <w:r w:rsidR="00AC71A9">
        <w:rPr>
          <w:rFonts w:ascii="Times New Roman" w:hAnsi="Times New Roman" w:cs="Times New Roman"/>
          <w:bCs/>
          <w:iCs/>
          <w:sz w:val="24"/>
          <w:szCs w:val="24"/>
        </w:rPr>
        <w:t xml:space="preserve">in understanding the ongoing work </w:t>
      </w:r>
      <w:r w:rsidR="003E71E3">
        <w:rPr>
          <w:rFonts w:ascii="Times New Roman" w:hAnsi="Times New Roman" w:cs="Times New Roman"/>
          <w:bCs/>
          <w:iCs/>
          <w:sz w:val="24"/>
          <w:szCs w:val="24"/>
        </w:rPr>
        <w:t>completed but not yet published</w:t>
      </w:r>
      <w:r w:rsidR="00AC71A9">
        <w:rPr>
          <w:rFonts w:ascii="Times New Roman" w:hAnsi="Times New Roman" w:cs="Times New Roman"/>
          <w:bCs/>
          <w:iCs/>
          <w:sz w:val="24"/>
          <w:szCs w:val="24"/>
        </w:rPr>
        <w:t xml:space="preserve"> related to this topic. Editorials</w:t>
      </w:r>
      <w:r w:rsidR="00653ACC">
        <w:rPr>
          <w:rFonts w:ascii="Times New Roman" w:hAnsi="Times New Roman" w:cs="Times New Roman"/>
          <w:bCs/>
          <w:iCs/>
          <w:sz w:val="24"/>
          <w:szCs w:val="24"/>
        </w:rPr>
        <w:t>/perspectives pieces</w:t>
      </w:r>
      <w:r w:rsidR="003E71E3">
        <w:rPr>
          <w:rFonts w:ascii="Times New Roman" w:hAnsi="Times New Roman" w:cs="Times New Roman"/>
          <w:bCs/>
          <w:iCs/>
          <w:sz w:val="24"/>
          <w:szCs w:val="24"/>
        </w:rPr>
        <w:t>, systematic or scoping reviews,</w:t>
      </w:r>
      <w:r w:rsidR="00653ACC">
        <w:rPr>
          <w:rFonts w:ascii="Times New Roman" w:hAnsi="Times New Roman" w:cs="Times New Roman"/>
          <w:bCs/>
          <w:iCs/>
          <w:sz w:val="24"/>
          <w:szCs w:val="24"/>
        </w:rPr>
        <w:t xml:space="preserve"> and professional society recommendations</w:t>
      </w:r>
      <w:r w:rsidR="00AC71A9">
        <w:rPr>
          <w:rFonts w:ascii="Times New Roman" w:hAnsi="Times New Roman" w:cs="Times New Roman"/>
          <w:bCs/>
          <w:iCs/>
          <w:sz w:val="24"/>
          <w:szCs w:val="24"/>
        </w:rPr>
        <w:t xml:space="preserve"> will be excluded. However, bibliographies may be examined to ensure we are including all relevant articles. Publications from the start date of each database until the final search date will be included.  </w:t>
      </w:r>
    </w:p>
    <w:p w14:paraId="77E104F9" w14:textId="29E33E36" w:rsidR="00AD0903" w:rsidRDefault="00AD0903" w:rsidP="00810072">
      <w:pPr>
        <w:spacing w:after="0" w:line="240" w:lineRule="auto"/>
        <w:rPr>
          <w:rFonts w:ascii="Times New Roman" w:hAnsi="Times New Roman" w:cs="Times New Roman"/>
          <w:bCs/>
          <w:iCs/>
          <w:sz w:val="24"/>
          <w:szCs w:val="24"/>
        </w:rPr>
      </w:pPr>
    </w:p>
    <w:p w14:paraId="0B5BE473" w14:textId="10B195AB" w:rsidR="006E01AF" w:rsidRPr="006E01AF" w:rsidRDefault="006E01AF" w:rsidP="00AC71A9">
      <w:pPr>
        <w:spacing w:after="0" w:line="240" w:lineRule="auto"/>
        <w:ind w:firstLine="360"/>
        <w:rPr>
          <w:rFonts w:ascii="Times New Roman" w:hAnsi="Times New Roman" w:cs="Times New Roman"/>
          <w:bCs/>
          <w:iCs/>
          <w:sz w:val="24"/>
          <w:szCs w:val="24"/>
        </w:rPr>
      </w:pPr>
      <w:r w:rsidRPr="00AC71A9">
        <w:rPr>
          <w:rFonts w:ascii="Times New Roman" w:hAnsi="Times New Roman" w:cs="Times New Roman"/>
          <w:bCs/>
          <w:iCs/>
          <w:sz w:val="24"/>
          <w:szCs w:val="24"/>
          <w:u w:val="single"/>
        </w:rPr>
        <w:t>Participants</w:t>
      </w:r>
      <w:r w:rsidR="00AC71A9">
        <w:rPr>
          <w:rFonts w:ascii="Times New Roman" w:hAnsi="Times New Roman" w:cs="Times New Roman"/>
          <w:bCs/>
          <w:iCs/>
          <w:sz w:val="24"/>
          <w:szCs w:val="24"/>
        </w:rPr>
        <w:t>: Children (ages 0-18</w:t>
      </w:r>
      <w:r w:rsidR="00625D5F">
        <w:rPr>
          <w:rFonts w:ascii="Times New Roman" w:hAnsi="Times New Roman" w:cs="Times New Roman"/>
          <w:bCs/>
          <w:iCs/>
          <w:sz w:val="24"/>
          <w:szCs w:val="24"/>
        </w:rPr>
        <w:t xml:space="preserve"> years</w:t>
      </w:r>
      <w:r w:rsidR="00AC71A9">
        <w:rPr>
          <w:rFonts w:ascii="Times New Roman" w:hAnsi="Times New Roman" w:cs="Times New Roman"/>
          <w:bCs/>
          <w:iCs/>
          <w:sz w:val="24"/>
          <w:szCs w:val="24"/>
        </w:rPr>
        <w:t xml:space="preserve">) presenting with </w:t>
      </w:r>
      <w:r w:rsidR="003E71E3">
        <w:rPr>
          <w:rFonts w:ascii="Times New Roman" w:hAnsi="Times New Roman" w:cs="Times New Roman"/>
          <w:bCs/>
          <w:iCs/>
          <w:sz w:val="24"/>
          <w:szCs w:val="24"/>
        </w:rPr>
        <w:t xml:space="preserve">injury secondary to </w:t>
      </w:r>
      <w:r w:rsidR="00170351">
        <w:rPr>
          <w:rFonts w:ascii="Times New Roman" w:hAnsi="Times New Roman" w:cs="Times New Roman"/>
          <w:bCs/>
          <w:iCs/>
          <w:sz w:val="24"/>
          <w:szCs w:val="24"/>
        </w:rPr>
        <w:t xml:space="preserve">firearms and/or </w:t>
      </w:r>
      <w:r w:rsidR="003E71E3">
        <w:rPr>
          <w:rFonts w:ascii="Times New Roman" w:hAnsi="Times New Roman" w:cs="Times New Roman"/>
          <w:bCs/>
          <w:iCs/>
          <w:sz w:val="24"/>
          <w:szCs w:val="24"/>
        </w:rPr>
        <w:t>assault</w:t>
      </w:r>
      <w:r w:rsidR="00AC71A9">
        <w:rPr>
          <w:rFonts w:ascii="Times New Roman" w:hAnsi="Times New Roman" w:cs="Times New Roman"/>
          <w:bCs/>
          <w:iCs/>
          <w:sz w:val="24"/>
          <w:szCs w:val="24"/>
        </w:rPr>
        <w:t xml:space="preserve"> must be </w:t>
      </w:r>
      <w:r w:rsidR="00653ACC">
        <w:rPr>
          <w:rFonts w:ascii="Times New Roman" w:hAnsi="Times New Roman" w:cs="Times New Roman"/>
          <w:bCs/>
          <w:iCs/>
          <w:sz w:val="24"/>
          <w:szCs w:val="24"/>
        </w:rPr>
        <w:t>the focus of</w:t>
      </w:r>
      <w:r w:rsidR="00AC71A9">
        <w:rPr>
          <w:rFonts w:ascii="Times New Roman" w:hAnsi="Times New Roman" w:cs="Times New Roman"/>
          <w:bCs/>
          <w:iCs/>
          <w:sz w:val="24"/>
          <w:szCs w:val="24"/>
        </w:rPr>
        <w:t xml:space="preserve"> the study. </w:t>
      </w:r>
      <w:r w:rsidR="00653ACC">
        <w:rPr>
          <w:rFonts w:ascii="Times New Roman" w:hAnsi="Times New Roman" w:cs="Times New Roman"/>
          <w:bCs/>
          <w:iCs/>
          <w:sz w:val="24"/>
          <w:szCs w:val="24"/>
        </w:rPr>
        <w:t xml:space="preserve">We will also include studies related to the parents/caregivers of </w:t>
      </w:r>
      <w:r w:rsidR="003E71E3">
        <w:rPr>
          <w:rFonts w:ascii="Times New Roman" w:hAnsi="Times New Roman" w:cs="Times New Roman"/>
          <w:bCs/>
          <w:iCs/>
          <w:sz w:val="24"/>
          <w:szCs w:val="24"/>
        </w:rPr>
        <w:t xml:space="preserve">injured </w:t>
      </w:r>
      <w:r w:rsidR="00653ACC">
        <w:rPr>
          <w:rFonts w:ascii="Times New Roman" w:hAnsi="Times New Roman" w:cs="Times New Roman"/>
          <w:bCs/>
          <w:iCs/>
          <w:sz w:val="24"/>
          <w:szCs w:val="24"/>
        </w:rPr>
        <w:t xml:space="preserve">children. </w:t>
      </w:r>
      <w:r w:rsidR="00AC71A9">
        <w:rPr>
          <w:rFonts w:ascii="Times New Roman" w:hAnsi="Times New Roman" w:cs="Times New Roman"/>
          <w:bCs/>
          <w:iCs/>
          <w:sz w:val="24"/>
          <w:szCs w:val="24"/>
        </w:rPr>
        <w:t>Studies that include adult</w:t>
      </w:r>
      <w:r w:rsidR="00653ACC">
        <w:rPr>
          <w:rFonts w:ascii="Times New Roman" w:hAnsi="Times New Roman" w:cs="Times New Roman"/>
          <w:bCs/>
          <w:iCs/>
          <w:sz w:val="24"/>
          <w:szCs w:val="24"/>
        </w:rPr>
        <w:t>s</w:t>
      </w:r>
      <w:r w:rsidR="00AC71A9">
        <w:rPr>
          <w:rFonts w:ascii="Times New Roman" w:hAnsi="Times New Roman" w:cs="Times New Roman"/>
          <w:bCs/>
          <w:iCs/>
          <w:sz w:val="24"/>
          <w:szCs w:val="24"/>
        </w:rPr>
        <w:t xml:space="preserve"> with </w:t>
      </w:r>
      <w:r w:rsidR="00170351">
        <w:rPr>
          <w:rFonts w:ascii="Times New Roman" w:hAnsi="Times New Roman" w:cs="Times New Roman"/>
          <w:bCs/>
          <w:iCs/>
          <w:sz w:val="24"/>
          <w:szCs w:val="24"/>
        </w:rPr>
        <w:t xml:space="preserve">firearm or </w:t>
      </w:r>
      <w:r w:rsidR="003E71E3">
        <w:rPr>
          <w:rFonts w:ascii="Times New Roman" w:hAnsi="Times New Roman" w:cs="Times New Roman"/>
          <w:bCs/>
          <w:iCs/>
          <w:sz w:val="24"/>
          <w:szCs w:val="24"/>
        </w:rPr>
        <w:t>assault-related injuries</w:t>
      </w:r>
      <w:r w:rsidR="00AC71A9">
        <w:rPr>
          <w:rFonts w:ascii="Times New Roman" w:hAnsi="Times New Roman" w:cs="Times New Roman"/>
          <w:bCs/>
          <w:iCs/>
          <w:sz w:val="24"/>
          <w:szCs w:val="24"/>
        </w:rPr>
        <w:t xml:space="preserve"> </w:t>
      </w:r>
      <w:r w:rsidR="00653ACC">
        <w:rPr>
          <w:rFonts w:ascii="Times New Roman" w:hAnsi="Times New Roman" w:cs="Times New Roman"/>
          <w:bCs/>
          <w:iCs/>
          <w:sz w:val="24"/>
          <w:szCs w:val="24"/>
        </w:rPr>
        <w:t>may</w:t>
      </w:r>
      <w:r w:rsidR="00AC71A9">
        <w:rPr>
          <w:rFonts w:ascii="Times New Roman" w:hAnsi="Times New Roman" w:cs="Times New Roman"/>
          <w:bCs/>
          <w:iCs/>
          <w:sz w:val="24"/>
          <w:szCs w:val="24"/>
        </w:rPr>
        <w:t xml:space="preserve"> be included </w:t>
      </w:r>
      <w:r w:rsidR="00D87A6E">
        <w:rPr>
          <w:rFonts w:ascii="Times New Roman" w:hAnsi="Times New Roman" w:cs="Times New Roman"/>
          <w:bCs/>
          <w:iCs/>
          <w:sz w:val="24"/>
          <w:szCs w:val="24"/>
        </w:rPr>
        <w:t>as long as children and/or their caregivers are a focus of the study</w:t>
      </w:r>
      <w:r w:rsidR="00AC71A9">
        <w:rPr>
          <w:rFonts w:ascii="Times New Roman" w:hAnsi="Times New Roman" w:cs="Times New Roman"/>
          <w:bCs/>
          <w:iCs/>
          <w:sz w:val="24"/>
          <w:szCs w:val="24"/>
        </w:rPr>
        <w:t xml:space="preserve">; if children </w:t>
      </w:r>
      <w:r w:rsidR="00D87A6E">
        <w:rPr>
          <w:rFonts w:ascii="Times New Roman" w:hAnsi="Times New Roman" w:cs="Times New Roman"/>
          <w:bCs/>
          <w:iCs/>
          <w:sz w:val="24"/>
          <w:szCs w:val="24"/>
        </w:rPr>
        <w:t>are</w:t>
      </w:r>
      <w:r w:rsidR="00AC71A9">
        <w:rPr>
          <w:rFonts w:ascii="Times New Roman" w:hAnsi="Times New Roman" w:cs="Times New Roman"/>
          <w:bCs/>
          <w:iCs/>
          <w:sz w:val="24"/>
          <w:szCs w:val="24"/>
        </w:rPr>
        <w:t xml:space="preserve"> not involved</w:t>
      </w:r>
      <w:r w:rsidR="00D87A6E">
        <w:rPr>
          <w:rFonts w:ascii="Times New Roman" w:hAnsi="Times New Roman" w:cs="Times New Roman"/>
          <w:bCs/>
          <w:iCs/>
          <w:sz w:val="24"/>
          <w:szCs w:val="24"/>
        </w:rPr>
        <w:t xml:space="preserve"> or were less than 1/3 of the study participants</w:t>
      </w:r>
      <w:r w:rsidR="00AC71A9">
        <w:rPr>
          <w:rFonts w:ascii="Times New Roman" w:hAnsi="Times New Roman" w:cs="Times New Roman"/>
          <w:bCs/>
          <w:iCs/>
          <w:sz w:val="24"/>
          <w:szCs w:val="24"/>
        </w:rPr>
        <w:t xml:space="preserve">, the study will be excluded. </w:t>
      </w:r>
    </w:p>
    <w:p w14:paraId="2135D54E" w14:textId="77777777" w:rsidR="00CA2172" w:rsidRPr="00C400EC" w:rsidRDefault="00CA2172" w:rsidP="00BD4AD2">
      <w:pPr>
        <w:pStyle w:val="ListParagraph"/>
        <w:spacing w:after="0" w:line="240" w:lineRule="auto"/>
        <w:ind w:left="360"/>
        <w:rPr>
          <w:rFonts w:ascii="Times New Roman" w:hAnsi="Times New Roman" w:cs="Times New Roman"/>
          <w:b/>
          <w:sz w:val="24"/>
          <w:szCs w:val="24"/>
        </w:rPr>
      </w:pPr>
    </w:p>
    <w:p w14:paraId="1684906A" w14:textId="22595CBE" w:rsidR="00C400EC" w:rsidRPr="00A17137" w:rsidRDefault="006E01AF" w:rsidP="00A17137">
      <w:pPr>
        <w:spacing w:after="0" w:line="240" w:lineRule="auto"/>
        <w:ind w:firstLine="360"/>
        <w:rPr>
          <w:rFonts w:ascii="Times New Roman" w:hAnsi="Times New Roman" w:cs="Times New Roman"/>
          <w:b/>
          <w:i/>
          <w:sz w:val="24"/>
          <w:szCs w:val="24"/>
        </w:rPr>
      </w:pPr>
      <w:r>
        <w:rPr>
          <w:rFonts w:ascii="Times New Roman" w:hAnsi="Times New Roman" w:cs="Times New Roman"/>
          <w:bCs/>
          <w:sz w:val="24"/>
          <w:szCs w:val="24"/>
          <w:u w:val="single"/>
        </w:rPr>
        <w:t>Language</w:t>
      </w:r>
      <w:r w:rsidRPr="006E01AF">
        <w:rPr>
          <w:rFonts w:ascii="Times New Roman" w:hAnsi="Times New Roman" w:cs="Times New Roman"/>
          <w:bCs/>
          <w:sz w:val="24"/>
          <w:szCs w:val="24"/>
        </w:rPr>
        <w:t xml:space="preserve">: </w:t>
      </w:r>
      <w:r w:rsidR="008A450C">
        <w:rPr>
          <w:rFonts w:ascii="Times New Roman" w:hAnsi="Times New Roman" w:cs="Times New Roman"/>
          <w:sz w:val="24"/>
          <w:szCs w:val="24"/>
        </w:rPr>
        <w:t xml:space="preserve">We </w:t>
      </w:r>
      <w:r w:rsidR="00A11746">
        <w:rPr>
          <w:rFonts w:ascii="Times New Roman" w:hAnsi="Times New Roman" w:cs="Times New Roman"/>
          <w:sz w:val="24"/>
          <w:szCs w:val="24"/>
        </w:rPr>
        <w:t>will limit</w:t>
      </w:r>
      <w:r w:rsidR="008A450C">
        <w:rPr>
          <w:rFonts w:ascii="Times New Roman" w:hAnsi="Times New Roman" w:cs="Times New Roman"/>
          <w:sz w:val="24"/>
          <w:szCs w:val="24"/>
        </w:rPr>
        <w:t xml:space="preserve"> our search to English language studies</w:t>
      </w:r>
      <w:r w:rsidR="00B763E5">
        <w:rPr>
          <w:rFonts w:ascii="Times New Roman" w:hAnsi="Times New Roman" w:cs="Times New Roman"/>
          <w:sz w:val="24"/>
          <w:szCs w:val="24"/>
        </w:rPr>
        <w:t xml:space="preserve"> and, when possible, to studies conducted in the United States. </w:t>
      </w:r>
    </w:p>
    <w:p w14:paraId="0C222D5B" w14:textId="77777777" w:rsidR="00C400EC" w:rsidRPr="00C400EC" w:rsidRDefault="00C400EC" w:rsidP="00810072">
      <w:pPr>
        <w:spacing w:after="0" w:line="240" w:lineRule="auto"/>
        <w:rPr>
          <w:rFonts w:ascii="Times New Roman" w:hAnsi="Times New Roman" w:cs="Times New Roman"/>
          <w:b/>
          <w:i/>
          <w:sz w:val="24"/>
          <w:szCs w:val="24"/>
        </w:rPr>
      </w:pPr>
    </w:p>
    <w:p w14:paraId="15DCF51D" w14:textId="4613857A" w:rsidR="00810072"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Search Strategy</w:t>
      </w:r>
      <w:r w:rsidR="00C54704">
        <w:rPr>
          <w:rFonts w:ascii="Times New Roman" w:hAnsi="Times New Roman" w:cs="Times New Roman"/>
          <w:b/>
          <w:i/>
          <w:sz w:val="24"/>
          <w:szCs w:val="24"/>
        </w:rPr>
        <w:t xml:space="preserve"> </w:t>
      </w:r>
    </w:p>
    <w:p w14:paraId="21C9DF17" w14:textId="6FDA5118" w:rsidR="00810072" w:rsidRDefault="004F080D"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search strategy will be formulated and performed by a health sciences librarian (D.N.) in collaboration with the research team. A preliminary search will be performed to determine if there are any existing or pending scoping or systematic reviews related to our topic. Assuming there are none, we will proceed with </w:t>
      </w:r>
      <w:r w:rsidR="00AD0903">
        <w:rPr>
          <w:rFonts w:ascii="Times New Roman" w:hAnsi="Times New Roman" w:cs="Times New Roman"/>
          <w:sz w:val="24"/>
          <w:szCs w:val="24"/>
        </w:rPr>
        <w:t xml:space="preserve">an initial search in </w:t>
      </w:r>
      <w:r w:rsidR="008E40F3">
        <w:rPr>
          <w:rFonts w:ascii="Times New Roman" w:hAnsi="Times New Roman" w:cs="Times New Roman"/>
          <w:sz w:val="24"/>
          <w:szCs w:val="24"/>
        </w:rPr>
        <w:t>Medline (Ovid)</w:t>
      </w:r>
      <w:r w:rsidR="00AD0903">
        <w:rPr>
          <w:rFonts w:ascii="Times New Roman" w:hAnsi="Times New Roman" w:cs="Times New Roman"/>
          <w:sz w:val="24"/>
          <w:szCs w:val="24"/>
        </w:rPr>
        <w:t xml:space="preserve"> database</w:t>
      </w:r>
      <w:r w:rsidR="008E40F3">
        <w:rPr>
          <w:rFonts w:ascii="Times New Roman" w:hAnsi="Times New Roman" w:cs="Times New Roman"/>
          <w:sz w:val="24"/>
          <w:szCs w:val="24"/>
        </w:rPr>
        <w:t xml:space="preserve"> </w:t>
      </w:r>
      <w:r w:rsidR="00AD0903">
        <w:rPr>
          <w:rFonts w:ascii="Times New Roman" w:hAnsi="Times New Roman" w:cs="Times New Roman"/>
          <w:sz w:val="24"/>
          <w:szCs w:val="24"/>
        </w:rPr>
        <w:t xml:space="preserve">and the search strategy will be modified through iterative searches through the additional database sources described above. </w:t>
      </w:r>
      <w:r w:rsidR="008A450C">
        <w:rPr>
          <w:rFonts w:ascii="Times New Roman" w:hAnsi="Times New Roman" w:cs="Times New Roman"/>
          <w:sz w:val="24"/>
          <w:szCs w:val="24"/>
        </w:rPr>
        <w:t xml:space="preserve">Additionally, the </w:t>
      </w:r>
      <w:r w:rsidR="008E40F3">
        <w:rPr>
          <w:rFonts w:ascii="Times New Roman" w:hAnsi="Times New Roman" w:cs="Times New Roman"/>
          <w:sz w:val="24"/>
          <w:szCs w:val="24"/>
        </w:rPr>
        <w:t>bibliography</w:t>
      </w:r>
      <w:r w:rsidR="008A450C">
        <w:rPr>
          <w:rFonts w:ascii="Times New Roman" w:hAnsi="Times New Roman" w:cs="Times New Roman"/>
          <w:sz w:val="24"/>
          <w:szCs w:val="24"/>
        </w:rPr>
        <w:t xml:space="preserve"> of included studies will also be examined for potential articles for inclusion. </w:t>
      </w:r>
    </w:p>
    <w:p w14:paraId="3A18827A" w14:textId="77777777" w:rsidR="00AD0903" w:rsidRDefault="00AD0903" w:rsidP="00810072">
      <w:pPr>
        <w:spacing w:after="0" w:line="240" w:lineRule="auto"/>
        <w:rPr>
          <w:rFonts w:ascii="Times New Roman" w:hAnsi="Times New Roman" w:cs="Times New Roman"/>
          <w:sz w:val="24"/>
          <w:szCs w:val="24"/>
        </w:rPr>
      </w:pPr>
    </w:p>
    <w:p w14:paraId="459B3A1B" w14:textId="54AEBDFB" w:rsidR="00AD0903" w:rsidRDefault="00AD090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search terms will target </w:t>
      </w:r>
      <w:r w:rsidR="006E01AF">
        <w:rPr>
          <w:rFonts w:ascii="Times New Roman" w:hAnsi="Times New Roman" w:cs="Times New Roman"/>
          <w:sz w:val="24"/>
          <w:szCs w:val="24"/>
        </w:rPr>
        <w:t xml:space="preserve">children, </w:t>
      </w:r>
      <w:r w:rsidR="005726F6">
        <w:rPr>
          <w:rFonts w:ascii="Times New Roman" w:hAnsi="Times New Roman" w:cs="Times New Roman"/>
          <w:sz w:val="24"/>
          <w:szCs w:val="24"/>
        </w:rPr>
        <w:t xml:space="preserve">firearm- or </w:t>
      </w:r>
      <w:r w:rsidR="003E71E3">
        <w:rPr>
          <w:rFonts w:ascii="Times New Roman" w:hAnsi="Times New Roman" w:cs="Times New Roman"/>
          <w:sz w:val="24"/>
          <w:szCs w:val="24"/>
        </w:rPr>
        <w:t>assault-related injuries</w:t>
      </w:r>
      <w:r w:rsidR="006E01AF">
        <w:rPr>
          <w:rFonts w:ascii="Times New Roman" w:hAnsi="Times New Roman" w:cs="Times New Roman"/>
          <w:sz w:val="24"/>
          <w:szCs w:val="24"/>
        </w:rPr>
        <w:t xml:space="preserve">, the Emergency Department setting and interventions. Examples of </w:t>
      </w:r>
      <w:r w:rsidR="006E01AF" w:rsidRPr="006E01AF">
        <w:rPr>
          <w:rFonts w:ascii="Times New Roman" w:hAnsi="Times New Roman" w:cs="Times New Roman"/>
          <w:i/>
          <w:iCs/>
          <w:sz w:val="24"/>
          <w:szCs w:val="24"/>
        </w:rPr>
        <w:t>children</w:t>
      </w:r>
      <w:r w:rsidR="006E01AF">
        <w:rPr>
          <w:rFonts w:ascii="Times New Roman" w:hAnsi="Times New Roman" w:cs="Times New Roman"/>
          <w:sz w:val="24"/>
          <w:szCs w:val="24"/>
        </w:rPr>
        <w:t xml:space="preserve"> search terms will include: children, adolescents, teen, youth, pediatric. Examples of </w:t>
      </w:r>
      <w:r w:rsidR="005726F6" w:rsidRPr="005726F6">
        <w:rPr>
          <w:rFonts w:ascii="Times New Roman" w:hAnsi="Times New Roman" w:cs="Times New Roman"/>
          <w:i/>
          <w:iCs/>
          <w:sz w:val="24"/>
          <w:szCs w:val="24"/>
        </w:rPr>
        <w:t>firearm or</w:t>
      </w:r>
      <w:r w:rsidR="005726F6">
        <w:rPr>
          <w:rFonts w:ascii="Times New Roman" w:hAnsi="Times New Roman" w:cs="Times New Roman"/>
          <w:sz w:val="24"/>
          <w:szCs w:val="24"/>
        </w:rPr>
        <w:t xml:space="preserve"> </w:t>
      </w:r>
      <w:r w:rsidR="003E71E3">
        <w:rPr>
          <w:rFonts w:ascii="Times New Roman" w:hAnsi="Times New Roman" w:cs="Times New Roman"/>
          <w:i/>
          <w:iCs/>
          <w:sz w:val="24"/>
          <w:szCs w:val="24"/>
        </w:rPr>
        <w:t>assault-related</w:t>
      </w:r>
      <w:r w:rsidR="006E01AF" w:rsidRPr="006E01AF">
        <w:rPr>
          <w:rFonts w:ascii="Times New Roman" w:hAnsi="Times New Roman" w:cs="Times New Roman"/>
          <w:i/>
          <w:iCs/>
          <w:sz w:val="24"/>
          <w:szCs w:val="24"/>
        </w:rPr>
        <w:t xml:space="preserve"> injury</w:t>
      </w:r>
      <w:r w:rsidR="006E01AF">
        <w:rPr>
          <w:rFonts w:ascii="Times New Roman" w:hAnsi="Times New Roman" w:cs="Times New Roman"/>
          <w:sz w:val="24"/>
          <w:szCs w:val="24"/>
        </w:rPr>
        <w:t xml:space="preserve"> search terms will </w:t>
      </w:r>
      <w:proofErr w:type="gramStart"/>
      <w:r w:rsidR="006E01AF">
        <w:rPr>
          <w:rFonts w:ascii="Times New Roman" w:hAnsi="Times New Roman" w:cs="Times New Roman"/>
          <w:sz w:val="24"/>
          <w:szCs w:val="24"/>
        </w:rPr>
        <w:t>include:</w:t>
      </w:r>
      <w:proofErr w:type="gramEnd"/>
      <w:r w:rsidR="006E01AF">
        <w:rPr>
          <w:rFonts w:ascii="Times New Roman" w:hAnsi="Times New Roman" w:cs="Times New Roman"/>
          <w:sz w:val="24"/>
          <w:szCs w:val="24"/>
        </w:rPr>
        <w:t xml:space="preserve"> firearm, gun, assault, violence, injury</w:t>
      </w:r>
      <w:r w:rsidR="003E71E3">
        <w:rPr>
          <w:rFonts w:ascii="Times New Roman" w:hAnsi="Times New Roman" w:cs="Times New Roman"/>
          <w:sz w:val="24"/>
          <w:szCs w:val="24"/>
        </w:rPr>
        <w:t>, penetrating trauma, interpersonal violence</w:t>
      </w:r>
      <w:r w:rsidR="006E01AF">
        <w:rPr>
          <w:rFonts w:ascii="Times New Roman" w:hAnsi="Times New Roman" w:cs="Times New Roman"/>
          <w:sz w:val="24"/>
          <w:szCs w:val="24"/>
        </w:rPr>
        <w:t xml:space="preserve">. Examples of </w:t>
      </w:r>
      <w:r w:rsidR="006E01AF" w:rsidRPr="006E01AF">
        <w:rPr>
          <w:rFonts w:ascii="Times New Roman" w:hAnsi="Times New Roman" w:cs="Times New Roman"/>
          <w:i/>
          <w:iCs/>
          <w:sz w:val="24"/>
          <w:szCs w:val="24"/>
        </w:rPr>
        <w:t>Emergency Department setting</w:t>
      </w:r>
      <w:r w:rsidR="006E01AF">
        <w:rPr>
          <w:rFonts w:ascii="Times New Roman" w:hAnsi="Times New Roman" w:cs="Times New Roman"/>
          <w:sz w:val="24"/>
          <w:szCs w:val="24"/>
        </w:rPr>
        <w:t xml:space="preserve"> search terms will </w:t>
      </w:r>
      <w:proofErr w:type="gramStart"/>
      <w:r w:rsidR="006E01AF">
        <w:rPr>
          <w:rFonts w:ascii="Times New Roman" w:hAnsi="Times New Roman" w:cs="Times New Roman"/>
          <w:sz w:val="24"/>
          <w:szCs w:val="24"/>
        </w:rPr>
        <w:t>include:</w:t>
      </w:r>
      <w:proofErr w:type="gramEnd"/>
      <w:r w:rsidR="006E01AF">
        <w:rPr>
          <w:rFonts w:ascii="Times New Roman" w:hAnsi="Times New Roman" w:cs="Times New Roman"/>
          <w:sz w:val="24"/>
          <w:szCs w:val="24"/>
        </w:rPr>
        <w:t xml:space="preserve"> emergency department, hospital, trauma center</w:t>
      </w:r>
      <w:r w:rsidR="002E2A0D">
        <w:rPr>
          <w:rFonts w:ascii="Times New Roman" w:hAnsi="Times New Roman" w:cs="Times New Roman"/>
          <w:sz w:val="24"/>
          <w:szCs w:val="24"/>
        </w:rPr>
        <w:t>, acute care</w:t>
      </w:r>
      <w:r w:rsidR="003E71E3">
        <w:rPr>
          <w:rFonts w:ascii="Times New Roman" w:hAnsi="Times New Roman" w:cs="Times New Roman"/>
          <w:sz w:val="24"/>
          <w:szCs w:val="24"/>
        </w:rPr>
        <w:t>, ward</w:t>
      </w:r>
      <w:r w:rsidR="006E01AF">
        <w:rPr>
          <w:rFonts w:ascii="Times New Roman" w:hAnsi="Times New Roman" w:cs="Times New Roman"/>
          <w:sz w:val="24"/>
          <w:szCs w:val="24"/>
        </w:rPr>
        <w:t xml:space="preserve">. Examples of </w:t>
      </w:r>
      <w:r w:rsidR="006E01AF" w:rsidRPr="006E01AF">
        <w:rPr>
          <w:rFonts w:ascii="Times New Roman" w:hAnsi="Times New Roman" w:cs="Times New Roman"/>
          <w:i/>
          <w:iCs/>
          <w:sz w:val="24"/>
          <w:szCs w:val="24"/>
        </w:rPr>
        <w:t>intervention</w:t>
      </w:r>
      <w:r w:rsidR="006E01AF">
        <w:rPr>
          <w:rFonts w:ascii="Times New Roman" w:hAnsi="Times New Roman" w:cs="Times New Roman"/>
          <w:sz w:val="24"/>
          <w:szCs w:val="24"/>
        </w:rPr>
        <w:t xml:space="preserve"> search terms will include: intervention, intervene, </w:t>
      </w:r>
      <w:r w:rsidR="001237E6">
        <w:rPr>
          <w:rFonts w:ascii="Times New Roman" w:hAnsi="Times New Roman" w:cs="Times New Roman"/>
          <w:sz w:val="24"/>
          <w:szCs w:val="24"/>
        </w:rPr>
        <w:t xml:space="preserve">program, </w:t>
      </w:r>
      <w:r w:rsidR="002E2A0D">
        <w:rPr>
          <w:rFonts w:ascii="Times New Roman" w:hAnsi="Times New Roman" w:cs="Times New Roman"/>
          <w:sz w:val="24"/>
          <w:szCs w:val="24"/>
        </w:rPr>
        <w:t>prevention, screening, assessment, referral, outreach</w:t>
      </w:r>
      <w:r w:rsidR="006E01AF">
        <w:rPr>
          <w:rFonts w:ascii="Times New Roman" w:hAnsi="Times New Roman" w:cs="Times New Roman"/>
          <w:sz w:val="24"/>
          <w:szCs w:val="24"/>
        </w:rPr>
        <w:t xml:space="preserve">. </w:t>
      </w:r>
    </w:p>
    <w:p w14:paraId="5404173E" w14:textId="3BFC8249" w:rsidR="008E40F3" w:rsidRDefault="008E40F3" w:rsidP="00810072">
      <w:pPr>
        <w:spacing w:after="0" w:line="240" w:lineRule="auto"/>
        <w:rPr>
          <w:rFonts w:ascii="Times New Roman" w:hAnsi="Times New Roman" w:cs="Times New Roman"/>
          <w:sz w:val="24"/>
          <w:szCs w:val="24"/>
        </w:rPr>
      </w:pPr>
    </w:p>
    <w:p w14:paraId="611EFF69" w14:textId="5DECDDC2" w:rsidR="008E40F3" w:rsidRDefault="008E40F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A draft of the search performed in Medline ( Ovid) is provided below:</w:t>
      </w:r>
    </w:p>
    <w:p w14:paraId="4F3F8D93" w14:textId="77777777" w:rsidR="00870F88" w:rsidRPr="00870F88" w:rsidRDefault="00870F88" w:rsidP="00870F88">
      <w:pPr>
        <w:spacing w:after="0" w:line="240" w:lineRule="auto"/>
        <w:rPr>
          <w:rFonts w:ascii="Times New Roman" w:hAnsi="Times New Roman" w:cs="Times New Roman"/>
          <w:sz w:val="24"/>
          <w:szCs w:val="24"/>
        </w:rPr>
      </w:pPr>
    </w:p>
    <w:p w14:paraId="54272E06" w14:textId="77777777" w:rsid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 xml:space="preserve">Ovid MEDLINE(R) and </w:t>
      </w:r>
      <w:proofErr w:type="spellStart"/>
      <w:r w:rsidRPr="00870F88">
        <w:rPr>
          <w:rFonts w:ascii="Times New Roman" w:hAnsi="Times New Roman" w:cs="Times New Roman"/>
          <w:sz w:val="24"/>
          <w:szCs w:val="24"/>
        </w:rPr>
        <w:t>Epub</w:t>
      </w:r>
      <w:proofErr w:type="spellEnd"/>
      <w:r w:rsidRPr="00870F88">
        <w:rPr>
          <w:rFonts w:ascii="Times New Roman" w:hAnsi="Times New Roman" w:cs="Times New Roman"/>
          <w:sz w:val="24"/>
          <w:szCs w:val="24"/>
        </w:rPr>
        <w:t xml:space="preserve"> Ahead of Print, In-Process, In-Data-Review &amp; Other Non-Indexed Citations, Daily and Versions &lt;1946 to October 04, 2023&gt;</w:t>
      </w:r>
    </w:p>
    <w:p w14:paraId="0FB4929E" w14:textId="77777777" w:rsidR="00870F88" w:rsidRPr="00870F88" w:rsidRDefault="00870F88" w:rsidP="00870F88">
      <w:pPr>
        <w:spacing w:after="0" w:line="240" w:lineRule="auto"/>
        <w:rPr>
          <w:rFonts w:ascii="Times New Roman" w:hAnsi="Times New Roman" w:cs="Times New Roman"/>
          <w:sz w:val="24"/>
          <w:szCs w:val="24"/>
        </w:rPr>
      </w:pPr>
    </w:p>
    <w:p w14:paraId="7E1D6C0D" w14:textId="77777777"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1</w:t>
      </w:r>
      <w:r w:rsidRPr="00870F88">
        <w:rPr>
          <w:rFonts w:ascii="Times New Roman" w:hAnsi="Times New Roman" w:cs="Times New Roman"/>
          <w:sz w:val="24"/>
          <w:szCs w:val="24"/>
        </w:rPr>
        <w:tab/>
        <w:t>exp Emergency Service, Hospital/ or exp Emergency Medical Services/ or (acute-care or Emergency-Department* or Emergency-Room* or Emergency-Unit* or Emergency-Ward* or ER* or ED* or hospital* or hospital-based or Hospital-Emergency-Service* or trauma-center*</w:t>
      </w:r>
      <w:proofErr w:type="gramStart"/>
      <w:r w:rsidRPr="00870F88">
        <w:rPr>
          <w:rFonts w:ascii="Times New Roman" w:hAnsi="Times New Roman" w:cs="Times New Roman"/>
          <w:sz w:val="24"/>
          <w:szCs w:val="24"/>
        </w:rPr>
        <w:t>).</w:t>
      </w:r>
      <w:proofErr w:type="spellStart"/>
      <w:r w:rsidRPr="00870F88">
        <w:rPr>
          <w:rFonts w:ascii="Times New Roman" w:hAnsi="Times New Roman" w:cs="Times New Roman"/>
          <w:sz w:val="24"/>
          <w:szCs w:val="24"/>
        </w:rPr>
        <w:t>ti</w:t>
      </w:r>
      <w:proofErr w:type="gramEnd"/>
      <w:r w:rsidRPr="00870F88">
        <w:rPr>
          <w:rFonts w:ascii="Times New Roman" w:hAnsi="Times New Roman" w:cs="Times New Roman"/>
          <w:sz w:val="24"/>
          <w:szCs w:val="24"/>
        </w:rPr>
        <w:t>,ab</w:t>
      </w:r>
      <w:proofErr w:type="spellEnd"/>
      <w:r w:rsidRPr="00870F88">
        <w:rPr>
          <w:rFonts w:ascii="Times New Roman" w:hAnsi="Times New Roman" w:cs="Times New Roman"/>
          <w:sz w:val="24"/>
          <w:szCs w:val="24"/>
        </w:rPr>
        <w:t>.</w:t>
      </w:r>
      <w:r w:rsidRPr="00870F88">
        <w:rPr>
          <w:rFonts w:ascii="Times New Roman" w:hAnsi="Times New Roman" w:cs="Times New Roman"/>
          <w:sz w:val="24"/>
          <w:szCs w:val="24"/>
        </w:rPr>
        <w:tab/>
        <w:t>4628632</w:t>
      </w:r>
    </w:p>
    <w:p w14:paraId="49C720B0" w14:textId="77777777"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2</w:t>
      </w:r>
      <w:r w:rsidRPr="00870F88">
        <w:rPr>
          <w:rFonts w:ascii="Times New Roman" w:hAnsi="Times New Roman" w:cs="Times New Roman"/>
          <w:sz w:val="24"/>
          <w:szCs w:val="24"/>
        </w:rPr>
        <w:tab/>
        <w:t xml:space="preserve">exp "Wounds </w:t>
      </w:r>
      <w:proofErr w:type="gramStart"/>
      <w:r w:rsidRPr="00870F88">
        <w:rPr>
          <w:rFonts w:ascii="Times New Roman" w:hAnsi="Times New Roman" w:cs="Times New Roman"/>
          <w:sz w:val="24"/>
          <w:szCs w:val="24"/>
        </w:rPr>
        <w:t>and(</w:t>
      </w:r>
      <w:proofErr w:type="gramEnd"/>
      <w:r w:rsidRPr="00870F88">
        <w:rPr>
          <w:rFonts w:ascii="Times New Roman" w:hAnsi="Times New Roman" w:cs="Times New Roman"/>
          <w:sz w:val="24"/>
          <w:szCs w:val="24"/>
        </w:rPr>
        <w:t>) Injuries"/ or ((</w:t>
      </w:r>
      <w:proofErr w:type="spellStart"/>
      <w:r w:rsidRPr="00870F88">
        <w:rPr>
          <w:rFonts w:ascii="Times New Roman" w:hAnsi="Times New Roman" w:cs="Times New Roman"/>
          <w:sz w:val="24"/>
          <w:szCs w:val="24"/>
        </w:rPr>
        <w:t>injur</w:t>
      </w:r>
      <w:proofErr w:type="spellEnd"/>
      <w:r w:rsidRPr="00870F88">
        <w:rPr>
          <w:rFonts w:ascii="Times New Roman" w:hAnsi="Times New Roman" w:cs="Times New Roman"/>
          <w:sz w:val="24"/>
          <w:szCs w:val="24"/>
        </w:rPr>
        <w:t xml:space="preserve">* or trauma* or </w:t>
      </w:r>
      <w:proofErr w:type="spellStart"/>
      <w:r w:rsidRPr="00870F88">
        <w:rPr>
          <w:rFonts w:ascii="Times New Roman" w:hAnsi="Times New Roman" w:cs="Times New Roman"/>
          <w:sz w:val="24"/>
          <w:szCs w:val="24"/>
        </w:rPr>
        <w:t>violen</w:t>
      </w:r>
      <w:proofErr w:type="spellEnd"/>
      <w:r w:rsidRPr="00870F88">
        <w:rPr>
          <w:rFonts w:ascii="Times New Roman" w:hAnsi="Times New Roman" w:cs="Times New Roman"/>
          <w:sz w:val="24"/>
          <w:szCs w:val="24"/>
        </w:rPr>
        <w:t xml:space="preserve">* or wound*) adj8 (assault* or firearm or gun or interpersonal or </w:t>
      </w:r>
      <w:proofErr w:type="spellStart"/>
      <w:r w:rsidRPr="00870F88">
        <w:rPr>
          <w:rFonts w:ascii="Times New Roman" w:hAnsi="Times New Roman" w:cs="Times New Roman"/>
          <w:sz w:val="24"/>
          <w:szCs w:val="24"/>
        </w:rPr>
        <w:t>penetrat</w:t>
      </w:r>
      <w:proofErr w:type="spellEnd"/>
      <w:r w:rsidRPr="00870F88">
        <w:rPr>
          <w:rFonts w:ascii="Times New Roman" w:hAnsi="Times New Roman" w:cs="Times New Roman"/>
          <w:sz w:val="24"/>
          <w:szCs w:val="24"/>
        </w:rPr>
        <w:t>* or weapon)).</w:t>
      </w:r>
      <w:proofErr w:type="spellStart"/>
      <w:r w:rsidRPr="00870F88">
        <w:rPr>
          <w:rFonts w:ascii="Times New Roman" w:hAnsi="Times New Roman" w:cs="Times New Roman"/>
          <w:sz w:val="24"/>
          <w:szCs w:val="24"/>
        </w:rPr>
        <w:t>ti,ab</w:t>
      </w:r>
      <w:proofErr w:type="spellEnd"/>
      <w:r w:rsidRPr="00870F88">
        <w:rPr>
          <w:rFonts w:ascii="Times New Roman" w:hAnsi="Times New Roman" w:cs="Times New Roman"/>
          <w:sz w:val="24"/>
          <w:szCs w:val="24"/>
        </w:rPr>
        <w:t>.</w:t>
      </w:r>
      <w:r w:rsidRPr="00870F88">
        <w:rPr>
          <w:rFonts w:ascii="Times New Roman" w:hAnsi="Times New Roman" w:cs="Times New Roman"/>
          <w:sz w:val="24"/>
          <w:szCs w:val="24"/>
        </w:rPr>
        <w:tab/>
        <w:t>1027183</w:t>
      </w:r>
    </w:p>
    <w:p w14:paraId="773DE46A" w14:textId="04583E5B"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3</w:t>
      </w:r>
      <w:r w:rsidRPr="00870F88">
        <w:rPr>
          <w:rFonts w:ascii="Times New Roman" w:hAnsi="Times New Roman" w:cs="Times New Roman"/>
          <w:sz w:val="24"/>
          <w:szCs w:val="24"/>
        </w:rPr>
        <w:tab/>
        <w:t xml:space="preserve">exp Violence/pc or exp Accident Prevention/ or ((assault or fire-arm or gun or violence) adj5 (assessment* or education* or evaluation or guidance or intervention* or outreach or practice* or prevention* or program* or referral* or screen* or service* or </w:t>
      </w:r>
      <w:proofErr w:type="spellStart"/>
      <w:r w:rsidRPr="00870F88">
        <w:rPr>
          <w:rFonts w:ascii="Times New Roman" w:hAnsi="Times New Roman" w:cs="Times New Roman"/>
          <w:sz w:val="24"/>
          <w:szCs w:val="24"/>
        </w:rPr>
        <w:t>strateg</w:t>
      </w:r>
      <w:proofErr w:type="spellEnd"/>
      <w:r w:rsidRPr="00870F88">
        <w:rPr>
          <w:rFonts w:ascii="Times New Roman" w:hAnsi="Times New Roman" w:cs="Times New Roman"/>
          <w:sz w:val="24"/>
          <w:szCs w:val="24"/>
        </w:rPr>
        <w:t>* or treat*)).</w:t>
      </w:r>
      <w:proofErr w:type="spellStart"/>
      <w:r w:rsidRPr="00870F88">
        <w:rPr>
          <w:rFonts w:ascii="Times New Roman" w:hAnsi="Times New Roman" w:cs="Times New Roman"/>
          <w:sz w:val="24"/>
          <w:szCs w:val="24"/>
        </w:rPr>
        <w:t>ti,ab</w:t>
      </w:r>
      <w:proofErr w:type="spellEnd"/>
      <w:r w:rsidRPr="00870F88">
        <w:rPr>
          <w:rFonts w:ascii="Times New Roman" w:hAnsi="Times New Roman" w:cs="Times New Roman"/>
          <w:sz w:val="24"/>
          <w:szCs w:val="24"/>
        </w:rPr>
        <w:t>.</w:t>
      </w:r>
      <w:r w:rsidRPr="00870F88">
        <w:rPr>
          <w:rFonts w:ascii="Times New Roman" w:hAnsi="Times New Roman" w:cs="Times New Roman"/>
          <w:sz w:val="24"/>
          <w:szCs w:val="24"/>
        </w:rPr>
        <w:tab/>
        <w:t>129281</w:t>
      </w:r>
    </w:p>
    <w:p w14:paraId="1C70A69A" w14:textId="77777777"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4</w:t>
      </w:r>
      <w:r w:rsidRPr="00870F88">
        <w:rPr>
          <w:rFonts w:ascii="Times New Roman" w:hAnsi="Times New Roman" w:cs="Times New Roman"/>
          <w:sz w:val="24"/>
          <w:szCs w:val="24"/>
        </w:rPr>
        <w:tab/>
        <w:t xml:space="preserve">exp Child/ or exp Adolescent/ or exp Pediatrics/ or (child* or pediatric* or </w:t>
      </w:r>
      <w:proofErr w:type="spellStart"/>
      <w:r w:rsidRPr="00870F88">
        <w:rPr>
          <w:rFonts w:ascii="Times New Roman" w:hAnsi="Times New Roman" w:cs="Times New Roman"/>
          <w:sz w:val="24"/>
          <w:szCs w:val="24"/>
        </w:rPr>
        <w:t>adolesc</w:t>
      </w:r>
      <w:proofErr w:type="spellEnd"/>
      <w:r w:rsidRPr="00870F88">
        <w:rPr>
          <w:rFonts w:ascii="Times New Roman" w:hAnsi="Times New Roman" w:cs="Times New Roman"/>
          <w:sz w:val="24"/>
          <w:szCs w:val="24"/>
        </w:rPr>
        <w:t>* or teen* or youth or kid*</w:t>
      </w:r>
      <w:proofErr w:type="gramStart"/>
      <w:r w:rsidRPr="00870F88">
        <w:rPr>
          <w:rFonts w:ascii="Times New Roman" w:hAnsi="Times New Roman" w:cs="Times New Roman"/>
          <w:sz w:val="24"/>
          <w:szCs w:val="24"/>
        </w:rPr>
        <w:t>).</w:t>
      </w:r>
      <w:proofErr w:type="spellStart"/>
      <w:r w:rsidRPr="00870F88">
        <w:rPr>
          <w:rFonts w:ascii="Times New Roman" w:hAnsi="Times New Roman" w:cs="Times New Roman"/>
          <w:sz w:val="24"/>
          <w:szCs w:val="24"/>
        </w:rPr>
        <w:t>ti</w:t>
      </w:r>
      <w:proofErr w:type="gramEnd"/>
      <w:r w:rsidRPr="00870F88">
        <w:rPr>
          <w:rFonts w:ascii="Times New Roman" w:hAnsi="Times New Roman" w:cs="Times New Roman"/>
          <w:sz w:val="24"/>
          <w:szCs w:val="24"/>
        </w:rPr>
        <w:t>,ab</w:t>
      </w:r>
      <w:proofErr w:type="spellEnd"/>
      <w:r w:rsidRPr="00870F88">
        <w:rPr>
          <w:rFonts w:ascii="Times New Roman" w:hAnsi="Times New Roman" w:cs="Times New Roman"/>
          <w:sz w:val="24"/>
          <w:szCs w:val="24"/>
        </w:rPr>
        <w:t>.</w:t>
      </w:r>
      <w:r w:rsidRPr="00870F88">
        <w:rPr>
          <w:rFonts w:ascii="Times New Roman" w:hAnsi="Times New Roman" w:cs="Times New Roman"/>
          <w:sz w:val="24"/>
          <w:szCs w:val="24"/>
        </w:rPr>
        <w:tab/>
        <w:t>4521867</w:t>
      </w:r>
    </w:p>
    <w:p w14:paraId="28B43199" w14:textId="77777777"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5</w:t>
      </w:r>
      <w:r w:rsidRPr="00870F88">
        <w:rPr>
          <w:rFonts w:ascii="Times New Roman" w:hAnsi="Times New Roman" w:cs="Times New Roman"/>
          <w:sz w:val="24"/>
          <w:szCs w:val="24"/>
        </w:rPr>
        <w:tab/>
        <w:t>1 and 2 and 3 and 4</w:t>
      </w:r>
      <w:r w:rsidRPr="00870F88">
        <w:rPr>
          <w:rFonts w:ascii="Times New Roman" w:hAnsi="Times New Roman" w:cs="Times New Roman"/>
          <w:sz w:val="24"/>
          <w:szCs w:val="24"/>
        </w:rPr>
        <w:tab/>
        <w:t>1948</w:t>
      </w:r>
    </w:p>
    <w:p w14:paraId="23DF7148" w14:textId="77777777" w:rsidR="00870F88" w:rsidRPr="00870F88"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6</w:t>
      </w:r>
      <w:r w:rsidRPr="00870F88">
        <w:rPr>
          <w:rFonts w:ascii="Times New Roman" w:hAnsi="Times New Roman" w:cs="Times New Roman"/>
          <w:sz w:val="24"/>
          <w:szCs w:val="24"/>
        </w:rPr>
        <w:tab/>
        <w:t>1 and 2 and 3</w:t>
      </w:r>
      <w:r w:rsidRPr="00870F88">
        <w:rPr>
          <w:rFonts w:ascii="Times New Roman" w:hAnsi="Times New Roman" w:cs="Times New Roman"/>
          <w:sz w:val="24"/>
          <w:szCs w:val="24"/>
        </w:rPr>
        <w:tab/>
        <w:t>4011</w:t>
      </w:r>
    </w:p>
    <w:p w14:paraId="13935782" w14:textId="4E09A18F" w:rsidR="008E40F3" w:rsidRDefault="00870F88" w:rsidP="00870F88">
      <w:pPr>
        <w:spacing w:after="0" w:line="240" w:lineRule="auto"/>
        <w:rPr>
          <w:rFonts w:ascii="Times New Roman" w:hAnsi="Times New Roman" w:cs="Times New Roman"/>
          <w:sz w:val="24"/>
          <w:szCs w:val="24"/>
        </w:rPr>
      </w:pPr>
      <w:r w:rsidRPr="00870F88">
        <w:rPr>
          <w:rFonts w:ascii="Times New Roman" w:hAnsi="Times New Roman" w:cs="Times New Roman"/>
          <w:sz w:val="24"/>
          <w:szCs w:val="24"/>
        </w:rPr>
        <w:t>7</w:t>
      </w:r>
      <w:r w:rsidRPr="00870F88">
        <w:rPr>
          <w:rFonts w:ascii="Times New Roman" w:hAnsi="Times New Roman" w:cs="Times New Roman"/>
          <w:sz w:val="24"/>
          <w:szCs w:val="24"/>
        </w:rPr>
        <w:tab/>
        <w:t>5 or 6</w:t>
      </w:r>
      <w:r w:rsidRPr="00870F88">
        <w:rPr>
          <w:rFonts w:ascii="Times New Roman" w:hAnsi="Times New Roman" w:cs="Times New Roman"/>
          <w:sz w:val="24"/>
          <w:szCs w:val="24"/>
        </w:rPr>
        <w:tab/>
        <w:t>4011</w:t>
      </w:r>
    </w:p>
    <w:p w14:paraId="6E6719DE" w14:textId="77777777" w:rsidR="00870F88" w:rsidRPr="00C400EC" w:rsidRDefault="00870F88" w:rsidP="00870F88">
      <w:pPr>
        <w:spacing w:after="0" w:line="240" w:lineRule="auto"/>
        <w:rPr>
          <w:rFonts w:ascii="Times New Roman" w:hAnsi="Times New Roman" w:cs="Times New Roman"/>
          <w:i/>
          <w:sz w:val="24"/>
          <w:szCs w:val="24"/>
        </w:rPr>
      </w:pPr>
    </w:p>
    <w:p w14:paraId="58802888" w14:textId="77777777" w:rsidR="00810072"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Selection Process</w:t>
      </w:r>
    </w:p>
    <w:p w14:paraId="479FC591" w14:textId="1EACB13A" w:rsidR="00810072" w:rsidRPr="00C400EC" w:rsidRDefault="000162AB"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Rayyan</w:t>
      </w:r>
      <w:r w:rsidR="00222016" w:rsidRPr="00C400EC">
        <w:rPr>
          <w:rFonts w:ascii="Times New Roman" w:hAnsi="Times New Roman" w:cs="Times New Roman"/>
          <w:sz w:val="24"/>
          <w:szCs w:val="24"/>
        </w:rPr>
        <w:t xml:space="preserve"> is the software selected to be used for the selection process. </w:t>
      </w:r>
      <w:r w:rsidR="00C400EC" w:rsidRPr="00C400EC">
        <w:rPr>
          <w:rFonts w:ascii="Times New Roman" w:hAnsi="Times New Roman" w:cs="Times New Roman"/>
          <w:sz w:val="24"/>
          <w:szCs w:val="24"/>
        </w:rPr>
        <w:t>The first round of eligibility will be determined by</w:t>
      </w:r>
      <w:r w:rsidR="00CA2172" w:rsidRPr="00C400EC">
        <w:rPr>
          <w:rFonts w:ascii="Times New Roman" w:hAnsi="Times New Roman" w:cs="Times New Roman"/>
          <w:sz w:val="24"/>
          <w:szCs w:val="24"/>
        </w:rPr>
        <w:t xml:space="preserve"> two investigators (S.K. and J.H.) </w:t>
      </w:r>
      <w:r w:rsidR="00C400EC" w:rsidRPr="00C400EC">
        <w:rPr>
          <w:rFonts w:ascii="Times New Roman" w:hAnsi="Times New Roman" w:cs="Times New Roman"/>
          <w:sz w:val="24"/>
          <w:szCs w:val="24"/>
        </w:rPr>
        <w:t xml:space="preserve">who </w:t>
      </w:r>
      <w:r w:rsidR="00CA2172" w:rsidRPr="00C400EC">
        <w:rPr>
          <w:rFonts w:ascii="Times New Roman" w:hAnsi="Times New Roman" w:cs="Times New Roman"/>
          <w:sz w:val="24"/>
          <w:szCs w:val="24"/>
        </w:rPr>
        <w:t>will</w:t>
      </w:r>
      <w:r w:rsidR="00222016" w:rsidRPr="00C400EC">
        <w:rPr>
          <w:rFonts w:ascii="Times New Roman" w:hAnsi="Times New Roman" w:cs="Times New Roman"/>
          <w:sz w:val="24"/>
          <w:szCs w:val="24"/>
        </w:rPr>
        <w:t xml:space="preserve"> </w:t>
      </w:r>
      <w:r w:rsidR="00AD0903">
        <w:rPr>
          <w:rFonts w:ascii="Times New Roman" w:hAnsi="Times New Roman" w:cs="Times New Roman"/>
          <w:sz w:val="24"/>
          <w:szCs w:val="24"/>
        </w:rPr>
        <w:t>independently</w:t>
      </w:r>
      <w:r w:rsidR="00C400EC" w:rsidRPr="00C400EC">
        <w:rPr>
          <w:rFonts w:ascii="Times New Roman" w:hAnsi="Times New Roman" w:cs="Times New Roman"/>
          <w:sz w:val="24"/>
          <w:szCs w:val="24"/>
        </w:rPr>
        <w:t xml:space="preserve"> </w:t>
      </w:r>
      <w:r w:rsidR="00222016" w:rsidRPr="00C400EC">
        <w:rPr>
          <w:rFonts w:ascii="Times New Roman" w:hAnsi="Times New Roman" w:cs="Times New Roman"/>
          <w:sz w:val="24"/>
          <w:szCs w:val="24"/>
        </w:rPr>
        <w:t xml:space="preserve">screen </w:t>
      </w:r>
      <w:r w:rsidR="00C400EC" w:rsidRPr="00C400EC">
        <w:rPr>
          <w:rFonts w:ascii="Times New Roman" w:hAnsi="Times New Roman" w:cs="Times New Roman"/>
          <w:sz w:val="24"/>
          <w:szCs w:val="24"/>
        </w:rPr>
        <w:t>all</w:t>
      </w:r>
      <w:r w:rsidR="00222016" w:rsidRPr="00C400EC">
        <w:rPr>
          <w:rFonts w:ascii="Times New Roman" w:hAnsi="Times New Roman" w:cs="Times New Roman"/>
          <w:sz w:val="24"/>
          <w:szCs w:val="24"/>
        </w:rPr>
        <w:t xml:space="preserve"> titles and abstracts</w:t>
      </w:r>
      <w:r w:rsidR="00CA2172" w:rsidRPr="00C400EC">
        <w:rPr>
          <w:rFonts w:ascii="Times New Roman" w:hAnsi="Times New Roman" w:cs="Times New Roman"/>
          <w:sz w:val="24"/>
          <w:szCs w:val="24"/>
        </w:rPr>
        <w:t xml:space="preserve"> that are abstracted using our keyword search</w:t>
      </w:r>
      <w:r w:rsidR="00AD0903">
        <w:rPr>
          <w:rFonts w:ascii="Times New Roman" w:hAnsi="Times New Roman" w:cs="Times New Roman"/>
          <w:sz w:val="24"/>
          <w:szCs w:val="24"/>
        </w:rPr>
        <w:t xml:space="preserve"> using the described inclusion criteria</w:t>
      </w:r>
      <w:r w:rsidR="00222016" w:rsidRPr="00C400EC">
        <w:rPr>
          <w:rFonts w:ascii="Times New Roman" w:hAnsi="Times New Roman" w:cs="Times New Roman"/>
          <w:sz w:val="24"/>
          <w:szCs w:val="24"/>
        </w:rPr>
        <w:t xml:space="preserve">. </w:t>
      </w:r>
      <w:r w:rsidR="00CA2172" w:rsidRPr="00C400EC">
        <w:rPr>
          <w:rFonts w:ascii="Times New Roman" w:hAnsi="Times New Roman" w:cs="Times New Roman"/>
          <w:sz w:val="24"/>
          <w:szCs w:val="24"/>
        </w:rPr>
        <w:t>If the title and abstract do not provide enough information to determine inclusion, f</w:t>
      </w:r>
      <w:r w:rsidR="00222016" w:rsidRPr="00C400EC">
        <w:rPr>
          <w:rFonts w:ascii="Times New Roman" w:hAnsi="Times New Roman" w:cs="Times New Roman"/>
          <w:sz w:val="24"/>
          <w:szCs w:val="24"/>
        </w:rPr>
        <w:t xml:space="preserve">ull articles will be reviewed. The second round for eligibility will include review of full text articles </w:t>
      </w:r>
      <w:r w:rsidR="00C54704">
        <w:rPr>
          <w:rFonts w:ascii="Times New Roman" w:hAnsi="Times New Roman" w:cs="Times New Roman"/>
          <w:sz w:val="24"/>
          <w:szCs w:val="24"/>
        </w:rPr>
        <w:t xml:space="preserve">of selected abstracts </w:t>
      </w:r>
      <w:r w:rsidR="00222016" w:rsidRPr="00C400EC">
        <w:rPr>
          <w:rFonts w:ascii="Times New Roman" w:hAnsi="Times New Roman" w:cs="Times New Roman"/>
          <w:sz w:val="24"/>
          <w:szCs w:val="24"/>
        </w:rPr>
        <w:t xml:space="preserve">to </w:t>
      </w:r>
      <w:r w:rsidR="00AD0903">
        <w:rPr>
          <w:rFonts w:ascii="Times New Roman" w:hAnsi="Times New Roman" w:cs="Times New Roman"/>
          <w:sz w:val="24"/>
          <w:szCs w:val="24"/>
        </w:rPr>
        <w:t>determine the eligibility of these studies</w:t>
      </w:r>
      <w:r w:rsidR="00222016" w:rsidRPr="00C400EC">
        <w:rPr>
          <w:rFonts w:ascii="Times New Roman" w:hAnsi="Times New Roman" w:cs="Times New Roman"/>
          <w:sz w:val="24"/>
          <w:szCs w:val="24"/>
        </w:rPr>
        <w:t xml:space="preserve">. </w:t>
      </w:r>
      <w:r w:rsidR="00C400EC" w:rsidRPr="00C400EC">
        <w:rPr>
          <w:rFonts w:ascii="Times New Roman" w:hAnsi="Times New Roman" w:cs="Times New Roman"/>
          <w:sz w:val="24"/>
          <w:szCs w:val="24"/>
        </w:rPr>
        <w:t>If the two reviewers</w:t>
      </w:r>
      <w:r w:rsidR="00730EA8">
        <w:rPr>
          <w:rFonts w:ascii="Times New Roman" w:hAnsi="Times New Roman" w:cs="Times New Roman"/>
          <w:sz w:val="24"/>
          <w:szCs w:val="24"/>
        </w:rPr>
        <w:t xml:space="preserve"> (S.K. and </w:t>
      </w:r>
      <w:r w:rsidR="00730EA8">
        <w:rPr>
          <w:rFonts w:ascii="Times New Roman" w:hAnsi="Times New Roman" w:cs="Times New Roman"/>
          <w:sz w:val="24"/>
          <w:szCs w:val="24"/>
        </w:rPr>
        <w:lastRenderedPageBreak/>
        <w:t>J.H.)</w:t>
      </w:r>
      <w:r w:rsidR="00C400EC" w:rsidRPr="00C400EC">
        <w:rPr>
          <w:rFonts w:ascii="Times New Roman" w:hAnsi="Times New Roman" w:cs="Times New Roman"/>
          <w:sz w:val="24"/>
          <w:szCs w:val="24"/>
        </w:rPr>
        <w:t xml:space="preserve"> do not agree on inclusion</w:t>
      </w:r>
      <w:r w:rsidR="00AD0903">
        <w:rPr>
          <w:rFonts w:ascii="Times New Roman" w:hAnsi="Times New Roman" w:cs="Times New Roman"/>
          <w:sz w:val="24"/>
          <w:szCs w:val="24"/>
        </w:rPr>
        <w:t xml:space="preserve"> or exclusion</w:t>
      </w:r>
      <w:r w:rsidR="00222016" w:rsidRPr="00C400EC">
        <w:rPr>
          <w:rFonts w:ascii="Times New Roman" w:hAnsi="Times New Roman" w:cs="Times New Roman"/>
          <w:sz w:val="24"/>
          <w:szCs w:val="24"/>
        </w:rPr>
        <w:t xml:space="preserve">, the </w:t>
      </w:r>
      <w:r w:rsidR="00C400EC" w:rsidRPr="00C400EC">
        <w:rPr>
          <w:rFonts w:ascii="Times New Roman" w:hAnsi="Times New Roman" w:cs="Times New Roman"/>
          <w:sz w:val="24"/>
          <w:szCs w:val="24"/>
        </w:rPr>
        <w:t xml:space="preserve">full </w:t>
      </w:r>
      <w:r w:rsidR="00222016" w:rsidRPr="00C400EC">
        <w:rPr>
          <w:rFonts w:ascii="Times New Roman" w:hAnsi="Times New Roman" w:cs="Times New Roman"/>
          <w:sz w:val="24"/>
          <w:szCs w:val="24"/>
        </w:rPr>
        <w:t xml:space="preserve">research team will </w:t>
      </w:r>
      <w:r w:rsidR="00C400EC" w:rsidRPr="00C400EC">
        <w:rPr>
          <w:rFonts w:ascii="Times New Roman" w:hAnsi="Times New Roman" w:cs="Times New Roman"/>
          <w:sz w:val="24"/>
          <w:szCs w:val="24"/>
        </w:rPr>
        <w:t>review the contested article to</w:t>
      </w:r>
      <w:r w:rsidR="00222016" w:rsidRPr="00C400EC">
        <w:rPr>
          <w:rFonts w:ascii="Times New Roman" w:hAnsi="Times New Roman" w:cs="Times New Roman"/>
          <w:sz w:val="24"/>
          <w:szCs w:val="24"/>
        </w:rPr>
        <w:t xml:space="preserve"> come to consensus. </w:t>
      </w:r>
      <w:r w:rsidR="00810072" w:rsidRPr="00C400EC">
        <w:rPr>
          <w:rFonts w:ascii="Times New Roman" w:hAnsi="Times New Roman" w:cs="Times New Roman"/>
          <w:sz w:val="24"/>
          <w:szCs w:val="24"/>
        </w:rPr>
        <w:t>Documentation or rationale for inclusion and exclusion of specific titles, abstracts, and full texts will be performed</w:t>
      </w:r>
      <w:r w:rsidR="008A450C">
        <w:rPr>
          <w:rFonts w:ascii="Times New Roman" w:hAnsi="Times New Roman" w:cs="Times New Roman"/>
          <w:sz w:val="24"/>
          <w:szCs w:val="24"/>
        </w:rPr>
        <w:t xml:space="preserve">. </w:t>
      </w:r>
    </w:p>
    <w:p w14:paraId="25688456" w14:textId="77777777" w:rsidR="008D21D4" w:rsidRDefault="008D21D4" w:rsidP="00810072">
      <w:pPr>
        <w:spacing w:after="0" w:line="240" w:lineRule="auto"/>
        <w:rPr>
          <w:rFonts w:ascii="Times New Roman" w:hAnsi="Times New Roman" w:cs="Times New Roman"/>
          <w:b/>
          <w:i/>
          <w:sz w:val="24"/>
          <w:szCs w:val="24"/>
        </w:rPr>
      </w:pPr>
      <w:bookmarkStart w:id="0" w:name="OLE_LINK7"/>
    </w:p>
    <w:p w14:paraId="3C512C5A" w14:textId="77777777" w:rsidR="00917EAB" w:rsidRDefault="00917EAB" w:rsidP="00810072">
      <w:pPr>
        <w:spacing w:after="0" w:line="240" w:lineRule="auto"/>
        <w:rPr>
          <w:rFonts w:ascii="Times New Roman" w:hAnsi="Times New Roman" w:cs="Times New Roman"/>
          <w:b/>
          <w:i/>
          <w:sz w:val="24"/>
          <w:szCs w:val="24"/>
        </w:rPr>
      </w:pPr>
    </w:p>
    <w:p w14:paraId="7AA55851" w14:textId="77777777" w:rsidR="00917EAB" w:rsidRDefault="00917EAB" w:rsidP="00810072">
      <w:pPr>
        <w:spacing w:after="0" w:line="240" w:lineRule="auto"/>
        <w:rPr>
          <w:rFonts w:ascii="Times New Roman" w:hAnsi="Times New Roman" w:cs="Times New Roman"/>
          <w:b/>
          <w:i/>
          <w:sz w:val="24"/>
          <w:szCs w:val="24"/>
        </w:rPr>
      </w:pPr>
    </w:p>
    <w:p w14:paraId="5E5FBE11" w14:textId="35A9901D" w:rsidR="00C54704" w:rsidRPr="008D21D4"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 xml:space="preserve">Data Charting </w:t>
      </w:r>
      <w:bookmarkEnd w:id="0"/>
      <w:r w:rsidRPr="00C400EC">
        <w:rPr>
          <w:rFonts w:ascii="Times New Roman" w:hAnsi="Times New Roman" w:cs="Times New Roman"/>
          <w:b/>
          <w:i/>
          <w:sz w:val="24"/>
          <w:szCs w:val="24"/>
        </w:rPr>
        <w:t>Process</w:t>
      </w:r>
    </w:p>
    <w:p w14:paraId="79C686A6" w14:textId="5C0A73ED" w:rsidR="00C400EC" w:rsidRDefault="00AD0903" w:rsidP="00810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develop a standardized data abstraction form, which will be pilot sampled on an initial sample of 3-5 included studies to determine agreement between data abstractors. </w:t>
      </w:r>
      <w:r w:rsidR="009E2A2D">
        <w:rPr>
          <w:rFonts w:ascii="Times New Roman" w:hAnsi="Times New Roman" w:cs="Times New Roman"/>
          <w:sz w:val="24"/>
          <w:szCs w:val="24"/>
        </w:rPr>
        <w:t xml:space="preserve">The data abstraction form will capture include the following fields: </w:t>
      </w:r>
      <w:r w:rsidR="00D87A6E">
        <w:rPr>
          <w:rFonts w:ascii="Times New Roman" w:hAnsi="Times New Roman" w:cs="Times New Roman"/>
          <w:sz w:val="24"/>
          <w:szCs w:val="24"/>
        </w:rPr>
        <w:t xml:space="preserve">type of firearm injury, </w:t>
      </w:r>
      <w:r w:rsidR="00B763E5" w:rsidRPr="00B763E5">
        <w:rPr>
          <w:rFonts w:ascii="Times New Roman" w:hAnsi="Times New Roman" w:cs="Times New Roman"/>
          <w:sz w:val="24"/>
          <w:szCs w:val="24"/>
        </w:rPr>
        <w:t xml:space="preserve">design, </w:t>
      </w:r>
      <w:r w:rsidR="00D87A6E">
        <w:rPr>
          <w:rFonts w:ascii="Times New Roman" w:hAnsi="Times New Roman" w:cs="Times New Roman"/>
          <w:sz w:val="24"/>
          <w:szCs w:val="24"/>
        </w:rPr>
        <w:t>population, sample size,</w:t>
      </w:r>
      <w:r w:rsidR="00B763E5" w:rsidRPr="00B763E5">
        <w:rPr>
          <w:rFonts w:ascii="Times New Roman" w:hAnsi="Times New Roman" w:cs="Times New Roman"/>
          <w:sz w:val="24"/>
          <w:szCs w:val="24"/>
        </w:rPr>
        <w:t xml:space="preserve"> setting, intervention description, outcomes, </w:t>
      </w:r>
      <w:r w:rsidR="00D87A6E">
        <w:rPr>
          <w:rFonts w:ascii="Times New Roman" w:hAnsi="Times New Roman" w:cs="Times New Roman"/>
          <w:sz w:val="24"/>
          <w:szCs w:val="24"/>
        </w:rPr>
        <w:t xml:space="preserve">main findings, </w:t>
      </w:r>
      <w:r w:rsidR="00B763E5" w:rsidRPr="00B763E5">
        <w:rPr>
          <w:rFonts w:ascii="Times New Roman" w:hAnsi="Times New Roman" w:cs="Times New Roman"/>
          <w:sz w:val="24"/>
          <w:szCs w:val="24"/>
        </w:rPr>
        <w:t>and limitations.</w:t>
      </w:r>
      <w:r w:rsidR="00D87A6E">
        <w:rPr>
          <w:rFonts w:ascii="Times New Roman" w:hAnsi="Times New Roman" w:cs="Times New Roman"/>
          <w:sz w:val="24"/>
          <w:szCs w:val="24"/>
        </w:rPr>
        <w:t xml:space="preserve"> </w:t>
      </w:r>
      <w:r w:rsidR="009E2A2D">
        <w:rPr>
          <w:rFonts w:ascii="Times New Roman" w:hAnsi="Times New Roman" w:cs="Times New Roman"/>
          <w:sz w:val="24"/>
          <w:szCs w:val="24"/>
        </w:rPr>
        <w:t xml:space="preserve">The included fields may be adjusted after the initial pilot stage. </w:t>
      </w:r>
    </w:p>
    <w:p w14:paraId="14655685" w14:textId="77777777" w:rsidR="00AD0903" w:rsidRDefault="00AD0903" w:rsidP="00810072">
      <w:pPr>
        <w:spacing w:after="0" w:line="240" w:lineRule="auto"/>
        <w:rPr>
          <w:rFonts w:ascii="Times New Roman" w:hAnsi="Times New Roman" w:cs="Times New Roman"/>
          <w:sz w:val="24"/>
          <w:szCs w:val="24"/>
        </w:rPr>
      </w:pPr>
    </w:p>
    <w:p w14:paraId="443FFAF5" w14:textId="450A7D34" w:rsidR="00A17137" w:rsidRDefault="00A17137" w:rsidP="00A17137">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 xml:space="preserve">Data Items </w:t>
      </w:r>
    </w:p>
    <w:p w14:paraId="39FB3FCB" w14:textId="77777777" w:rsidR="008D21D4" w:rsidRPr="00C400EC" w:rsidRDefault="008D21D4" w:rsidP="00A17137">
      <w:pPr>
        <w:spacing w:after="0" w:line="240" w:lineRule="auto"/>
        <w:rPr>
          <w:rFonts w:ascii="Times New Roman" w:hAnsi="Times New Roman" w:cs="Times New Roman"/>
          <w:b/>
          <w:i/>
          <w:sz w:val="24"/>
          <w:szCs w:val="24"/>
        </w:rPr>
      </w:pPr>
    </w:p>
    <w:p w14:paraId="61C9CFBE" w14:textId="2D7B17F3" w:rsidR="005E705F" w:rsidRP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objectives</w:t>
      </w:r>
    </w:p>
    <w:p w14:paraId="0FAA0AF2" w14:textId="0F8AC2CA" w:rsidR="00A17137"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design</w:t>
      </w:r>
    </w:p>
    <w:p w14:paraId="02F0555A" w14:textId="3CDCD877"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Study location (i.e., type of ED/hospital, single site vs</w:t>
      </w:r>
      <w:r w:rsidR="00C65CFD">
        <w:rPr>
          <w:rFonts w:ascii="Times New Roman" w:hAnsi="Times New Roman" w:cs="Times New Roman"/>
          <w:sz w:val="24"/>
          <w:szCs w:val="24"/>
        </w:rPr>
        <w:t>.</w:t>
      </w:r>
      <w:r>
        <w:rPr>
          <w:rFonts w:ascii="Times New Roman" w:hAnsi="Times New Roman" w:cs="Times New Roman"/>
          <w:sz w:val="24"/>
          <w:szCs w:val="24"/>
        </w:rPr>
        <w:t xml:space="preserve"> multi-site, rural vs</w:t>
      </w:r>
      <w:r w:rsidR="00C65CFD">
        <w:rPr>
          <w:rFonts w:ascii="Times New Roman" w:hAnsi="Times New Roman" w:cs="Times New Roman"/>
          <w:sz w:val="24"/>
          <w:szCs w:val="24"/>
        </w:rPr>
        <w:t>.</w:t>
      </w:r>
      <w:r>
        <w:rPr>
          <w:rFonts w:ascii="Times New Roman" w:hAnsi="Times New Roman" w:cs="Times New Roman"/>
          <w:sz w:val="24"/>
          <w:szCs w:val="24"/>
        </w:rPr>
        <w:t xml:space="preserve"> urban)</w:t>
      </w:r>
    </w:p>
    <w:p w14:paraId="101C8D7B" w14:textId="5F6C6278"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Study </w:t>
      </w:r>
      <w:r w:rsidR="00730EA8">
        <w:rPr>
          <w:rFonts w:ascii="Times New Roman" w:hAnsi="Times New Roman" w:cs="Times New Roman"/>
          <w:sz w:val="24"/>
          <w:szCs w:val="24"/>
        </w:rPr>
        <w:t>population</w:t>
      </w:r>
      <w:r>
        <w:rPr>
          <w:rFonts w:ascii="Times New Roman" w:hAnsi="Times New Roman" w:cs="Times New Roman"/>
          <w:sz w:val="24"/>
          <w:szCs w:val="24"/>
        </w:rPr>
        <w:t xml:space="preserve"> (i.e., number of participants, </w:t>
      </w:r>
      <w:r w:rsidR="00C65CFD">
        <w:rPr>
          <w:rFonts w:ascii="Times New Roman" w:hAnsi="Times New Roman" w:cs="Times New Roman"/>
          <w:sz w:val="24"/>
          <w:szCs w:val="24"/>
        </w:rPr>
        <w:t xml:space="preserve">breakdown of </w:t>
      </w:r>
      <w:r>
        <w:rPr>
          <w:rFonts w:ascii="Times New Roman" w:hAnsi="Times New Roman" w:cs="Times New Roman"/>
          <w:sz w:val="24"/>
          <w:szCs w:val="24"/>
        </w:rPr>
        <w:t>age, sex, race and ethnicity)</w:t>
      </w:r>
    </w:p>
    <w:p w14:paraId="4CF1D82D" w14:textId="498A424A"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Type of firearm injury (e.g., assault, self-inflicted, unintentional) </w:t>
      </w:r>
    </w:p>
    <w:p w14:paraId="05562352" w14:textId="0186B950" w:rsid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intervention (i.e., target of intervention – patient or caregiver or both, staff members and resources involved, duration of intervention)</w:t>
      </w:r>
    </w:p>
    <w:p w14:paraId="22B02B87" w14:textId="52CE6BCC" w:rsidR="005E705F" w:rsidRPr="005E705F" w:rsidRDefault="005E705F" w:rsidP="005E70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Outcomes associations if available (i.e., repeat ED/hospital visits, repeat injury, mental health diagnoses, return to school/work) </w:t>
      </w:r>
    </w:p>
    <w:p w14:paraId="56CCDD01" w14:textId="77777777" w:rsidR="00A17137" w:rsidRPr="00C400EC" w:rsidRDefault="00A17137" w:rsidP="00810072">
      <w:pPr>
        <w:spacing w:after="0" w:line="240" w:lineRule="auto"/>
        <w:rPr>
          <w:rFonts w:ascii="Times New Roman" w:hAnsi="Times New Roman" w:cs="Times New Roman"/>
          <w:sz w:val="24"/>
          <w:szCs w:val="24"/>
        </w:rPr>
      </w:pPr>
    </w:p>
    <w:p w14:paraId="1FCF0B9F" w14:textId="64FD8B55" w:rsidR="00C54704" w:rsidRDefault="00810072" w:rsidP="00810072">
      <w:pPr>
        <w:spacing w:after="0" w:line="240" w:lineRule="auto"/>
        <w:rPr>
          <w:rFonts w:ascii="Times New Roman" w:hAnsi="Times New Roman" w:cs="Times New Roman"/>
          <w:b/>
          <w:i/>
          <w:sz w:val="24"/>
          <w:szCs w:val="24"/>
        </w:rPr>
      </w:pPr>
      <w:r w:rsidRPr="00C400EC">
        <w:rPr>
          <w:rFonts w:ascii="Times New Roman" w:hAnsi="Times New Roman" w:cs="Times New Roman"/>
          <w:b/>
          <w:i/>
          <w:sz w:val="24"/>
          <w:szCs w:val="24"/>
        </w:rPr>
        <w:t>Data Synthesis</w:t>
      </w:r>
    </w:p>
    <w:p w14:paraId="27696EDE" w14:textId="093FB3FF" w:rsidR="00113892" w:rsidRDefault="00113892" w:rsidP="00113892">
      <w:pPr>
        <w:spacing w:after="0" w:line="240" w:lineRule="auto"/>
        <w:rPr>
          <w:rFonts w:ascii="Times New Roman" w:hAnsi="Times New Roman" w:cs="Times New Roman"/>
          <w:sz w:val="24"/>
          <w:szCs w:val="24"/>
        </w:rPr>
      </w:pPr>
    </w:p>
    <w:p w14:paraId="1A070649" w14:textId="1BCC991D" w:rsidR="00AC71A9" w:rsidRPr="009E2A2D" w:rsidRDefault="009E2A2D" w:rsidP="00113892">
      <w:pPr>
        <w:spacing w:after="0" w:line="240" w:lineRule="auto"/>
        <w:rPr>
          <w:rFonts w:ascii="Times New Roman" w:hAnsi="Times New Roman" w:cs="Times New Roman"/>
          <w:bCs/>
          <w:sz w:val="24"/>
          <w:szCs w:val="24"/>
        </w:rPr>
      </w:pPr>
      <w:r>
        <w:rPr>
          <w:rFonts w:ascii="Times New Roman" w:hAnsi="Times New Roman" w:cs="Times New Roman"/>
          <w:sz w:val="24"/>
          <w:szCs w:val="24"/>
        </w:rPr>
        <w:t>The data from included studies will be extracted and mapped independently by the two reviewers</w:t>
      </w:r>
      <w:r w:rsidR="006A11DB">
        <w:rPr>
          <w:rFonts w:ascii="Times New Roman" w:hAnsi="Times New Roman" w:cs="Times New Roman"/>
          <w:sz w:val="24"/>
          <w:szCs w:val="24"/>
        </w:rPr>
        <w:t xml:space="preserve"> for all full text reviews</w:t>
      </w:r>
      <w:r>
        <w:rPr>
          <w:rFonts w:ascii="Times New Roman" w:hAnsi="Times New Roman" w:cs="Times New Roman"/>
          <w:sz w:val="24"/>
          <w:szCs w:val="24"/>
        </w:rPr>
        <w:t xml:space="preserve">. </w:t>
      </w:r>
      <w:r w:rsidRPr="009E2A2D">
        <w:rPr>
          <w:rFonts w:ascii="Times New Roman" w:hAnsi="Times New Roman" w:cs="Times New Roman"/>
          <w:bCs/>
          <w:sz w:val="24"/>
          <w:szCs w:val="24"/>
        </w:rPr>
        <w:t xml:space="preserve">Qualitative summaries will be completed for all included articles. </w:t>
      </w:r>
    </w:p>
    <w:p w14:paraId="1299DC32" w14:textId="77777777" w:rsidR="009E2A2D" w:rsidRPr="00857E96" w:rsidRDefault="009E2A2D" w:rsidP="00113892">
      <w:pPr>
        <w:spacing w:after="0" w:line="240" w:lineRule="auto"/>
        <w:rPr>
          <w:rFonts w:ascii="Times New Roman" w:hAnsi="Times New Roman" w:cs="Times New Roman"/>
          <w:b/>
          <w:sz w:val="24"/>
          <w:szCs w:val="24"/>
        </w:rPr>
      </w:pPr>
    </w:p>
    <w:p w14:paraId="10ACC4BD" w14:textId="5A478D38" w:rsidR="00881376" w:rsidRDefault="00857E96" w:rsidP="00810072">
      <w:pPr>
        <w:jc w:val="both"/>
        <w:rPr>
          <w:rFonts w:ascii="Times New Roman" w:hAnsi="Times New Roman" w:cs="Times New Roman"/>
          <w:sz w:val="24"/>
          <w:szCs w:val="24"/>
        </w:rPr>
      </w:pPr>
      <w:r w:rsidRPr="00857E96">
        <w:rPr>
          <w:rFonts w:ascii="Times New Roman" w:hAnsi="Times New Roman" w:cs="Times New Roman"/>
          <w:b/>
          <w:bCs/>
          <w:sz w:val="24"/>
          <w:szCs w:val="24"/>
        </w:rPr>
        <w:t>Anticipated Start Date:</w:t>
      </w:r>
      <w:r w:rsidRPr="00857E96">
        <w:rPr>
          <w:rFonts w:ascii="Times New Roman" w:hAnsi="Times New Roman" w:cs="Times New Roman"/>
          <w:sz w:val="24"/>
          <w:szCs w:val="24"/>
        </w:rPr>
        <w:t xml:space="preserve"> August 2023 </w:t>
      </w:r>
    </w:p>
    <w:p w14:paraId="11769D73" w14:textId="03FB2B4C" w:rsidR="003B4A97" w:rsidRDefault="00857E96" w:rsidP="00653ACC">
      <w:pPr>
        <w:jc w:val="both"/>
        <w:rPr>
          <w:rFonts w:ascii="Times New Roman" w:hAnsi="Times New Roman" w:cs="Times New Roman"/>
          <w:sz w:val="24"/>
          <w:szCs w:val="24"/>
        </w:rPr>
      </w:pPr>
      <w:r w:rsidRPr="00857E96">
        <w:rPr>
          <w:rFonts w:ascii="Times New Roman" w:hAnsi="Times New Roman" w:cs="Times New Roman"/>
          <w:b/>
          <w:bCs/>
          <w:sz w:val="24"/>
          <w:szCs w:val="24"/>
        </w:rPr>
        <w:t>Anticipated Completion Date:</w:t>
      </w:r>
      <w:r>
        <w:rPr>
          <w:rFonts w:ascii="Times New Roman" w:hAnsi="Times New Roman" w:cs="Times New Roman"/>
          <w:sz w:val="24"/>
          <w:szCs w:val="24"/>
        </w:rPr>
        <w:t xml:space="preserve"> April 2024 </w:t>
      </w:r>
    </w:p>
    <w:p w14:paraId="1C07BCCF" w14:textId="77777777" w:rsidR="009E2A2D" w:rsidRDefault="009E2A2D">
      <w:pPr>
        <w:rPr>
          <w:rFonts w:ascii="Times New Roman" w:hAnsi="Times New Roman" w:cs="Times New Roman"/>
          <w:b/>
          <w:bCs/>
          <w:sz w:val="24"/>
          <w:szCs w:val="24"/>
        </w:rPr>
      </w:pPr>
      <w:r>
        <w:rPr>
          <w:rFonts w:ascii="Times New Roman" w:hAnsi="Times New Roman" w:cs="Times New Roman"/>
          <w:b/>
          <w:bCs/>
          <w:sz w:val="24"/>
          <w:szCs w:val="24"/>
        </w:rPr>
        <w:br w:type="page"/>
      </w:r>
    </w:p>
    <w:p w14:paraId="50DC8E66" w14:textId="7F708E15" w:rsidR="003B4A97" w:rsidRPr="00606DD8" w:rsidRDefault="003B4A97" w:rsidP="00810072">
      <w:pPr>
        <w:jc w:val="both"/>
        <w:rPr>
          <w:rFonts w:ascii="Times New Roman" w:hAnsi="Times New Roman" w:cs="Times New Roman"/>
          <w:b/>
          <w:bCs/>
          <w:sz w:val="24"/>
          <w:szCs w:val="24"/>
        </w:rPr>
      </w:pPr>
      <w:r w:rsidRPr="00606DD8">
        <w:rPr>
          <w:rFonts w:ascii="Times New Roman" w:hAnsi="Times New Roman" w:cs="Times New Roman"/>
          <w:b/>
          <w:bCs/>
          <w:sz w:val="24"/>
          <w:szCs w:val="24"/>
        </w:rPr>
        <w:lastRenderedPageBreak/>
        <w:t>Bibliography</w:t>
      </w:r>
    </w:p>
    <w:p w14:paraId="1E39280A" w14:textId="3E85D7F9" w:rsidR="00FB3252" w:rsidRPr="00FB3252" w:rsidRDefault="003B4A97" w:rsidP="00FB3252">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B3252" w:rsidRPr="00FB3252">
        <w:rPr>
          <w:rFonts w:ascii="Times New Roman" w:hAnsi="Times New Roman" w:cs="Times New Roman"/>
          <w:noProof/>
          <w:sz w:val="24"/>
        </w:rPr>
        <w:t xml:space="preserve">1. </w:t>
      </w:r>
      <w:r w:rsidR="00FB3252" w:rsidRPr="00FB3252">
        <w:rPr>
          <w:rFonts w:ascii="Times New Roman" w:hAnsi="Times New Roman" w:cs="Times New Roman"/>
          <w:noProof/>
          <w:sz w:val="24"/>
        </w:rPr>
        <w:tab/>
        <w:t xml:space="preserve">Goldstick JE, Cunningham RM, Carter PM. Current Causes of Death in Children and Adolescents in the United States. </w:t>
      </w:r>
      <w:r w:rsidR="00FB3252" w:rsidRPr="00FB3252">
        <w:rPr>
          <w:rFonts w:ascii="Times New Roman" w:hAnsi="Times New Roman" w:cs="Times New Roman"/>
          <w:i/>
          <w:iCs/>
          <w:noProof/>
          <w:sz w:val="24"/>
        </w:rPr>
        <w:t>N Engl J Med</w:t>
      </w:r>
      <w:r w:rsidR="00FB3252" w:rsidRPr="00FB3252">
        <w:rPr>
          <w:rFonts w:ascii="Times New Roman" w:hAnsi="Times New Roman" w:cs="Times New Roman"/>
          <w:noProof/>
          <w:sz w:val="24"/>
        </w:rPr>
        <w:t>. Published online 2022:1-2. doi:10.1056/nejmc2201761</w:t>
      </w:r>
    </w:p>
    <w:p w14:paraId="11C1C826"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2. </w:t>
      </w:r>
      <w:r w:rsidRPr="00FB3252">
        <w:rPr>
          <w:rFonts w:ascii="Times New Roman" w:hAnsi="Times New Roman" w:cs="Times New Roman"/>
          <w:noProof/>
          <w:sz w:val="24"/>
        </w:rPr>
        <w:tab/>
        <w:t>Centers for Disease Control and Prevention. WISQARS Fatal Injury Reports, National, Regional and State, 1981 - 2019. Atlanta, GA; 2021. Available from: Published 2021. https://www.cdc.gov/injury/wisqars/</w:t>
      </w:r>
    </w:p>
    <w:p w14:paraId="52281C57"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3. </w:t>
      </w:r>
      <w:r w:rsidRPr="00FB3252">
        <w:rPr>
          <w:rFonts w:ascii="Times New Roman" w:hAnsi="Times New Roman" w:cs="Times New Roman"/>
          <w:noProof/>
          <w:sz w:val="24"/>
        </w:rPr>
        <w:tab/>
        <w:t xml:space="preserve">Ranney M, Karb R, Ehrlich P, Bromwich K, Cunningham R, Beidas RS. What are the long-term consequences of youth exposure to firearm injury, and how do we prevent them? A scoping review. </w:t>
      </w:r>
      <w:r w:rsidRPr="00FB3252">
        <w:rPr>
          <w:rFonts w:ascii="Times New Roman" w:hAnsi="Times New Roman" w:cs="Times New Roman"/>
          <w:i/>
          <w:iCs/>
          <w:noProof/>
          <w:sz w:val="24"/>
        </w:rPr>
        <w:t>J Behav Med</w:t>
      </w:r>
      <w:r w:rsidRPr="00FB3252">
        <w:rPr>
          <w:rFonts w:ascii="Times New Roman" w:hAnsi="Times New Roman" w:cs="Times New Roman"/>
          <w:noProof/>
          <w:sz w:val="24"/>
        </w:rPr>
        <w:t>. 2019;42(4):724-740. doi:10.1007/s10865-019-00035-2</w:t>
      </w:r>
    </w:p>
    <w:p w14:paraId="67D41AD5"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4. </w:t>
      </w:r>
      <w:r w:rsidRPr="00FB3252">
        <w:rPr>
          <w:rFonts w:ascii="Times New Roman" w:hAnsi="Times New Roman" w:cs="Times New Roman"/>
          <w:noProof/>
          <w:sz w:val="24"/>
        </w:rPr>
        <w:tab/>
        <w:t xml:space="preserve">Vasan A, Mitchell HK, Fein JA, Buckler DG, Wiebe DJ, South EC. Association of Neighborhood Gun Violence with Mental Health-Related Pediatric Emergency Department Utilization. </w:t>
      </w:r>
      <w:r w:rsidRPr="00FB3252">
        <w:rPr>
          <w:rFonts w:ascii="Times New Roman" w:hAnsi="Times New Roman" w:cs="Times New Roman"/>
          <w:i/>
          <w:iCs/>
          <w:noProof/>
          <w:sz w:val="24"/>
        </w:rPr>
        <w:t>JAMA Pediatr</w:t>
      </w:r>
      <w:r w:rsidRPr="00FB3252">
        <w:rPr>
          <w:rFonts w:ascii="Times New Roman" w:hAnsi="Times New Roman" w:cs="Times New Roman"/>
          <w:noProof/>
          <w:sz w:val="24"/>
        </w:rPr>
        <w:t>. 2021;175(12):1244-1251. doi:10.1001/jamapediatrics.2021.3512</w:t>
      </w:r>
    </w:p>
    <w:p w14:paraId="4F16466E"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5. </w:t>
      </w:r>
      <w:r w:rsidRPr="00FB3252">
        <w:rPr>
          <w:rFonts w:ascii="Times New Roman" w:hAnsi="Times New Roman" w:cs="Times New Roman"/>
          <w:noProof/>
          <w:sz w:val="24"/>
        </w:rPr>
        <w:tab/>
        <w:t xml:space="preserve">Fowler PJ, Tompsett CJ, Braciszewski JM, Jacques-Tiura AJ, Baltes BB. Community violence: A meta-analysis on the effect of exposure and mental health outcomes of children and adolescents. </w:t>
      </w:r>
      <w:r w:rsidRPr="00FB3252">
        <w:rPr>
          <w:rFonts w:ascii="Times New Roman" w:hAnsi="Times New Roman" w:cs="Times New Roman"/>
          <w:i/>
          <w:iCs/>
          <w:noProof/>
          <w:sz w:val="24"/>
        </w:rPr>
        <w:t>Dev Psychopathol</w:t>
      </w:r>
      <w:r w:rsidRPr="00FB3252">
        <w:rPr>
          <w:rFonts w:ascii="Times New Roman" w:hAnsi="Times New Roman" w:cs="Times New Roman"/>
          <w:noProof/>
          <w:sz w:val="24"/>
        </w:rPr>
        <w:t>. 2009;21(1):227-259. doi:10.1017/S0954579409000145</w:t>
      </w:r>
    </w:p>
    <w:p w14:paraId="2498B6C4"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6. </w:t>
      </w:r>
      <w:r w:rsidRPr="00FB3252">
        <w:rPr>
          <w:rFonts w:ascii="Times New Roman" w:hAnsi="Times New Roman" w:cs="Times New Roman"/>
          <w:noProof/>
          <w:sz w:val="24"/>
        </w:rPr>
        <w:tab/>
        <w:t xml:space="preserve">Pulcini CD, Goyal MK, Hall M, et al. Nonfatal firearm injuries: Utilization and expenditures for children pre‐ and postinjury. </w:t>
      </w:r>
      <w:r w:rsidRPr="00FB3252">
        <w:rPr>
          <w:rFonts w:ascii="Times New Roman" w:hAnsi="Times New Roman" w:cs="Times New Roman"/>
          <w:i/>
          <w:iCs/>
          <w:noProof/>
          <w:sz w:val="24"/>
        </w:rPr>
        <w:t>Acad Emerg Med</w:t>
      </w:r>
      <w:r w:rsidRPr="00FB3252">
        <w:rPr>
          <w:rFonts w:ascii="Times New Roman" w:hAnsi="Times New Roman" w:cs="Times New Roman"/>
          <w:noProof/>
          <w:sz w:val="24"/>
        </w:rPr>
        <w:t>. 2021;28(8):840-847. doi:10.1111/acem.14318</w:t>
      </w:r>
    </w:p>
    <w:p w14:paraId="11A837A6"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7. </w:t>
      </w:r>
      <w:r w:rsidRPr="00FB3252">
        <w:rPr>
          <w:rFonts w:ascii="Times New Roman" w:hAnsi="Times New Roman" w:cs="Times New Roman"/>
          <w:noProof/>
          <w:sz w:val="24"/>
        </w:rPr>
        <w:tab/>
        <w:t xml:space="preserve">Carter PM, Cook LJ, Macy ML, et al. Individual and Neighborhood Characteristics of Children Seeking Emergency Department Care for Firearm Injuries Within the PECARN Network. </w:t>
      </w:r>
      <w:r w:rsidRPr="00FB3252">
        <w:rPr>
          <w:rFonts w:ascii="Times New Roman" w:hAnsi="Times New Roman" w:cs="Times New Roman"/>
          <w:i/>
          <w:iCs/>
          <w:noProof/>
          <w:sz w:val="24"/>
        </w:rPr>
        <w:t>Acad Emerg Med</w:t>
      </w:r>
      <w:r w:rsidRPr="00FB3252">
        <w:rPr>
          <w:rFonts w:ascii="Times New Roman" w:hAnsi="Times New Roman" w:cs="Times New Roman"/>
          <w:noProof/>
          <w:sz w:val="24"/>
        </w:rPr>
        <w:t>. 2017;24(7):803-813. doi:10.1111/acem.13200</w:t>
      </w:r>
    </w:p>
    <w:p w14:paraId="7D6BA8DA"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8. </w:t>
      </w:r>
      <w:r w:rsidRPr="00FB3252">
        <w:rPr>
          <w:rFonts w:ascii="Times New Roman" w:hAnsi="Times New Roman" w:cs="Times New Roman"/>
          <w:noProof/>
          <w:sz w:val="24"/>
        </w:rPr>
        <w:tab/>
        <w:t xml:space="preserve">Cunningham R, Knox L, Fein J, et al. Before and After the Trauma Bay: The Prevention of Violent Injury Among Youth. </w:t>
      </w:r>
      <w:r w:rsidRPr="00FB3252">
        <w:rPr>
          <w:rFonts w:ascii="Times New Roman" w:hAnsi="Times New Roman" w:cs="Times New Roman"/>
          <w:i/>
          <w:iCs/>
          <w:noProof/>
          <w:sz w:val="24"/>
        </w:rPr>
        <w:t>Ann Emerg Med</w:t>
      </w:r>
      <w:r w:rsidRPr="00FB3252">
        <w:rPr>
          <w:rFonts w:ascii="Times New Roman" w:hAnsi="Times New Roman" w:cs="Times New Roman"/>
          <w:noProof/>
          <w:sz w:val="24"/>
        </w:rPr>
        <w:t>. 2009;53(4):490-500. doi:10.1016/j.annemergmed.2008.11.014</w:t>
      </w:r>
    </w:p>
    <w:p w14:paraId="2639B353"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9. </w:t>
      </w:r>
      <w:r w:rsidRPr="00FB3252">
        <w:rPr>
          <w:rFonts w:ascii="Times New Roman" w:hAnsi="Times New Roman" w:cs="Times New Roman"/>
          <w:noProof/>
          <w:sz w:val="24"/>
        </w:rPr>
        <w:tab/>
        <w:t xml:space="preserve">Rowhani-Rahbar A, Zatzick D, Wang J, et al. Firearm-related hospitalization and risk for subsequent violent injury, death, or crime perpetration: A cohort study. </w:t>
      </w:r>
      <w:r w:rsidRPr="00FB3252">
        <w:rPr>
          <w:rFonts w:ascii="Times New Roman" w:hAnsi="Times New Roman" w:cs="Times New Roman"/>
          <w:i/>
          <w:iCs/>
          <w:noProof/>
          <w:sz w:val="24"/>
        </w:rPr>
        <w:t>Ann Intern Med</w:t>
      </w:r>
      <w:r w:rsidRPr="00FB3252">
        <w:rPr>
          <w:rFonts w:ascii="Times New Roman" w:hAnsi="Times New Roman" w:cs="Times New Roman"/>
          <w:noProof/>
          <w:sz w:val="24"/>
        </w:rPr>
        <w:t>. 2015;162(7):492-500. doi:10.7326/M14-2362</w:t>
      </w:r>
    </w:p>
    <w:p w14:paraId="0EA141DC"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10. </w:t>
      </w:r>
      <w:r w:rsidRPr="00FB3252">
        <w:rPr>
          <w:rFonts w:ascii="Times New Roman" w:hAnsi="Times New Roman" w:cs="Times New Roman"/>
          <w:noProof/>
          <w:sz w:val="24"/>
        </w:rPr>
        <w:tab/>
        <w:t xml:space="preserve">Cunningham RM, Carter PM, Ranney M, et al. Violent Reinjury and Mortality Among Youth Seeking Emergency Department Care for Assault-Related Injury. </w:t>
      </w:r>
      <w:r w:rsidRPr="00FB3252">
        <w:rPr>
          <w:rFonts w:ascii="Times New Roman" w:hAnsi="Times New Roman" w:cs="Times New Roman"/>
          <w:i/>
          <w:iCs/>
          <w:noProof/>
          <w:sz w:val="24"/>
        </w:rPr>
        <w:t>JAMA Pediatr</w:t>
      </w:r>
      <w:r w:rsidRPr="00FB3252">
        <w:rPr>
          <w:rFonts w:ascii="Times New Roman" w:hAnsi="Times New Roman" w:cs="Times New Roman"/>
          <w:noProof/>
          <w:sz w:val="24"/>
        </w:rPr>
        <w:t>. 2015;169(1):63. doi:10.1001/jamapediatrics.2014.1900</w:t>
      </w:r>
    </w:p>
    <w:p w14:paraId="5B684C11"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11. </w:t>
      </w:r>
      <w:r w:rsidRPr="00FB3252">
        <w:rPr>
          <w:rFonts w:ascii="Times New Roman" w:hAnsi="Times New Roman" w:cs="Times New Roman"/>
          <w:noProof/>
          <w:sz w:val="24"/>
        </w:rPr>
        <w:tab/>
        <w:t xml:space="preserve">Oddo ER, Maldonado L, Hink AB, Simpson AN, Andrews AL. Increase in Mental Health Diagnoses Among Youth With Nonfatal Firearm Injuries. </w:t>
      </w:r>
      <w:r w:rsidRPr="00FB3252">
        <w:rPr>
          <w:rFonts w:ascii="Times New Roman" w:hAnsi="Times New Roman" w:cs="Times New Roman"/>
          <w:i/>
          <w:iCs/>
          <w:noProof/>
          <w:sz w:val="24"/>
        </w:rPr>
        <w:t>Acad Pediatr</w:t>
      </w:r>
      <w:r w:rsidRPr="00FB3252">
        <w:rPr>
          <w:rFonts w:ascii="Times New Roman" w:hAnsi="Times New Roman" w:cs="Times New Roman"/>
          <w:noProof/>
          <w:sz w:val="24"/>
        </w:rPr>
        <w:t>. 2021;21(7):1203-1208. doi:10.1016/j.acap.2021.06.003</w:t>
      </w:r>
    </w:p>
    <w:p w14:paraId="4B3B1C64"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12. </w:t>
      </w:r>
      <w:r w:rsidRPr="00FB3252">
        <w:rPr>
          <w:rFonts w:ascii="Times New Roman" w:hAnsi="Times New Roman" w:cs="Times New Roman"/>
          <w:noProof/>
          <w:sz w:val="24"/>
        </w:rPr>
        <w:tab/>
        <w:t xml:space="preserve">Ehrlich PF, Pulcini CD, De Souza HG, et al. Mental Health Care Following Firearm and Motor Vehicle-related Injuries. </w:t>
      </w:r>
      <w:r w:rsidRPr="00FB3252">
        <w:rPr>
          <w:rFonts w:ascii="Times New Roman" w:hAnsi="Times New Roman" w:cs="Times New Roman"/>
          <w:i/>
          <w:iCs/>
          <w:noProof/>
          <w:sz w:val="24"/>
        </w:rPr>
        <w:t>Ann Surg</w:t>
      </w:r>
      <w:r w:rsidRPr="00FB3252">
        <w:rPr>
          <w:rFonts w:ascii="Times New Roman" w:hAnsi="Times New Roman" w:cs="Times New Roman"/>
          <w:noProof/>
          <w:sz w:val="24"/>
        </w:rPr>
        <w:t xml:space="preserve">. 2022;276(3):463-471. </w:t>
      </w:r>
      <w:r w:rsidRPr="00FB3252">
        <w:rPr>
          <w:rFonts w:ascii="Times New Roman" w:hAnsi="Times New Roman" w:cs="Times New Roman"/>
          <w:noProof/>
          <w:sz w:val="24"/>
        </w:rPr>
        <w:lastRenderedPageBreak/>
        <w:t>doi:10.1097/SLA.0000000000005557</w:t>
      </w:r>
    </w:p>
    <w:p w14:paraId="35BCF79A"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13. </w:t>
      </w:r>
      <w:r w:rsidRPr="00FB3252">
        <w:rPr>
          <w:rFonts w:ascii="Times New Roman" w:hAnsi="Times New Roman" w:cs="Times New Roman"/>
          <w:noProof/>
          <w:sz w:val="24"/>
        </w:rPr>
        <w:tab/>
        <w:t xml:space="preserve">Bohnert KM, Walton MA, Ranney M, et al. Understanding the service needs of assault-injured, drug-using youth presenting for care in an urban Emergency Department. </w:t>
      </w:r>
      <w:r w:rsidRPr="00FB3252">
        <w:rPr>
          <w:rFonts w:ascii="Times New Roman" w:hAnsi="Times New Roman" w:cs="Times New Roman"/>
          <w:i/>
          <w:iCs/>
          <w:noProof/>
          <w:sz w:val="24"/>
        </w:rPr>
        <w:t>Addict Behav</w:t>
      </w:r>
      <w:r w:rsidRPr="00FB3252">
        <w:rPr>
          <w:rFonts w:ascii="Times New Roman" w:hAnsi="Times New Roman" w:cs="Times New Roman"/>
          <w:noProof/>
          <w:sz w:val="24"/>
        </w:rPr>
        <w:t>. 2015;41:97-105. doi:10.1016/j.addbeh.2014.09.019</w:t>
      </w:r>
    </w:p>
    <w:p w14:paraId="2D73AF88"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14. </w:t>
      </w:r>
      <w:r w:rsidRPr="00FB3252">
        <w:rPr>
          <w:rFonts w:ascii="Times New Roman" w:hAnsi="Times New Roman" w:cs="Times New Roman"/>
          <w:noProof/>
          <w:sz w:val="24"/>
        </w:rPr>
        <w:tab/>
        <w:t xml:space="preserve">Turcotte Benedict F, Amanullah S, Linakis JG, Ranney M. Emergency Department Utilization Among Assault-Injured Youth. </w:t>
      </w:r>
      <w:r w:rsidRPr="00FB3252">
        <w:rPr>
          <w:rFonts w:ascii="Times New Roman" w:hAnsi="Times New Roman" w:cs="Times New Roman"/>
          <w:i/>
          <w:iCs/>
          <w:noProof/>
          <w:sz w:val="24"/>
        </w:rPr>
        <w:t>Pediatr Emerg Care</w:t>
      </w:r>
      <w:r w:rsidRPr="00FB3252">
        <w:rPr>
          <w:rFonts w:ascii="Times New Roman" w:hAnsi="Times New Roman" w:cs="Times New Roman"/>
          <w:noProof/>
          <w:sz w:val="24"/>
        </w:rPr>
        <w:t>. 2017;33(9):607-612. doi:10.1097/PEC.0000000000000609</w:t>
      </w:r>
    </w:p>
    <w:p w14:paraId="4A21AD0D"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15. </w:t>
      </w:r>
      <w:r w:rsidRPr="00FB3252">
        <w:rPr>
          <w:rFonts w:ascii="Times New Roman" w:hAnsi="Times New Roman" w:cs="Times New Roman"/>
          <w:noProof/>
          <w:sz w:val="24"/>
        </w:rPr>
        <w:tab/>
        <w:t xml:space="preserve">Corbin TJ, Rich JA, Bloom SL, Delgado D, Rich LJ, Wilson AS. Developing a Trauma-Informed, Emergency Department–Based Intervention for Victims of Urban Violence. </w:t>
      </w:r>
      <w:r w:rsidRPr="00FB3252">
        <w:rPr>
          <w:rFonts w:ascii="Times New Roman" w:hAnsi="Times New Roman" w:cs="Times New Roman"/>
          <w:i/>
          <w:iCs/>
          <w:noProof/>
          <w:sz w:val="24"/>
        </w:rPr>
        <w:t>J Trauma Dissociation</w:t>
      </w:r>
      <w:r w:rsidRPr="00FB3252">
        <w:rPr>
          <w:rFonts w:ascii="Times New Roman" w:hAnsi="Times New Roman" w:cs="Times New Roman"/>
          <w:noProof/>
          <w:sz w:val="24"/>
        </w:rPr>
        <w:t>. 2011;12(5):510-525. doi:10.1080/15299732.2011.593260</w:t>
      </w:r>
    </w:p>
    <w:p w14:paraId="08F8B1DB"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16. </w:t>
      </w:r>
      <w:r w:rsidRPr="00FB3252">
        <w:rPr>
          <w:rFonts w:ascii="Times New Roman" w:hAnsi="Times New Roman" w:cs="Times New Roman"/>
          <w:noProof/>
          <w:sz w:val="24"/>
        </w:rPr>
        <w:tab/>
        <w:t xml:space="preserve">Fein JA, Mollen CJ, Greene MB. The Assault-Injured Youth and the Emergency Medical System: What Can We Do? </w:t>
      </w:r>
      <w:r w:rsidRPr="00FB3252">
        <w:rPr>
          <w:rFonts w:ascii="Times New Roman" w:hAnsi="Times New Roman" w:cs="Times New Roman"/>
          <w:i/>
          <w:iCs/>
          <w:noProof/>
          <w:sz w:val="24"/>
        </w:rPr>
        <w:t>Clin Pediatr Emerg Med</w:t>
      </w:r>
      <w:r w:rsidRPr="00FB3252">
        <w:rPr>
          <w:rFonts w:ascii="Times New Roman" w:hAnsi="Times New Roman" w:cs="Times New Roman"/>
          <w:noProof/>
          <w:sz w:val="24"/>
        </w:rPr>
        <w:t>. 2013;14(1):47-55. doi:10.1016/j.cpem.2013.01.004</w:t>
      </w:r>
    </w:p>
    <w:p w14:paraId="47CBC1C6"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17. </w:t>
      </w:r>
      <w:r w:rsidRPr="00FB3252">
        <w:rPr>
          <w:rFonts w:ascii="Times New Roman" w:hAnsi="Times New Roman" w:cs="Times New Roman"/>
          <w:noProof/>
          <w:sz w:val="24"/>
        </w:rPr>
        <w:tab/>
        <w:t xml:space="preserve">Goel R, Zhu X, Makhani S, et al. Pediatric firearm injury related emergency department visits and hospitalizations: a population-based study in the United States. </w:t>
      </w:r>
      <w:r w:rsidRPr="00FB3252">
        <w:rPr>
          <w:rFonts w:ascii="Times New Roman" w:hAnsi="Times New Roman" w:cs="Times New Roman"/>
          <w:i/>
          <w:iCs/>
          <w:noProof/>
          <w:sz w:val="24"/>
        </w:rPr>
        <w:t>Lancet Reg Heal - Am</w:t>
      </w:r>
      <w:r w:rsidRPr="00FB3252">
        <w:rPr>
          <w:rFonts w:ascii="Times New Roman" w:hAnsi="Times New Roman" w:cs="Times New Roman"/>
          <w:noProof/>
          <w:sz w:val="24"/>
        </w:rPr>
        <w:t>. 2023;22:100503. doi:10.1016/j.lana.2023.100503</w:t>
      </w:r>
    </w:p>
    <w:p w14:paraId="6ED5B101"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18. </w:t>
      </w:r>
      <w:r w:rsidRPr="00FB3252">
        <w:rPr>
          <w:rFonts w:ascii="Times New Roman" w:hAnsi="Times New Roman" w:cs="Times New Roman"/>
          <w:noProof/>
          <w:sz w:val="24"/>
        </w:rPr>
        <w:tab/>
        <w:t xml:space="preserve">Hoffmann JA, Pulcini CD, Hall M, et al. Timing of Mental Health Service Use After a Pediatric Firearm Injury. </w:t>
      </w:r>
      <w:r w:rsidRPr="00FB3252">
        <w:rPr>
          <w:rFonts w:ascii="Times New Roman" w:hAnsi="Times New Roman" w:cs="Times New Roman"/>
          <w:i/>
          <w:iCs/>
          <w:noProof/>
          <w:sz w:val="24"/>
        </w:rPr>
        <w:t>Pediatrics</w:t>
      </w:r>
      <w:r w:rsidRPr="00FB3252">
        <w:rPr>
          <w:rFonts w:ascii="Times New Roman" w:hAnsi="Times New Roman" w:cs="Times New Roman"/>
          <w:noProof/>
          <w:sz w:val="24"/>
        </w:rPr>
        <w:t>. 2023;152(1). doi:10.1542/peds.2023-061241</w:t>
      </w:r>
    </w:p>
    <w:p w14:paraId="16F458AB" w14:textId="77777777" w:rsidR="00FB3252" w:rsidRPr="00FB3252" w:rsidRDefault="00FB3252" w:rsidP="00FB3252">
      <w:pPr>
        <w:widowControl w:val="0"/>
        <w:autoSpaceDE w:val="0"/>
        <w:autoSpaceDN w:val="0"/>
        <w:adjustRightInd w:val="0"/>
        <w:spacing w:line="240" w:lineRule="auto"/>
        <w:ind w:left="640" w:hanging="640"/>
        <w:rPr>
          <w:rFonts w:ascii="Times New Roman" w:hAnsi="Times New Roman" w:cs="Times New Roman"/>
          <w:noProof/>
          <w:sz w:val="24"/>
        </w:rPr>
      </w:pPr>
      <w:r w:rsidRPr="00FB3252">
        <w:rPr>
          <w:rFonts w:ascii="Times New Roman" w:hAnsi="Times New Roman" w:cs="Times New Roman"/>
          <w:noProof/>
          <w:sz w:val="24"/>
        </w:rPr>
        <w:t xml:space="preserve">19. </w:t>
      </w:r>
      <w:r w:rsidRPr="00FB3252">
        <w:rPr>
          <w:rFonts w:ascii="Times New Roman" w:hAnsi="Times New Roman" w:cs="Times New Roman"/>
          <w:noProof/>
          <w:sz w:val="24"/>
        </w:rPr>
        <w:tab/>
        <w:t xml:space="preserve">Wilson KM, Klein JD. Adolescents who use the emergency department as their usual source of care. </w:t>
      </w:r>
      <w:r w:rsidRPr="00FB3252">
        <w:rPr>
          <w:rFonts w:ascii="Times New Roman" w:hAnsi="Times New Roman" w:cs="Times New Roman"/>
          <w:i/>
          <w:iCs/>
          <w:noProof/>
          <w:sz w:val="24"/>
        </w:rPr>
        <w:t>Arch Pediatr Adolesc Med</w:t>
      </w:r>
      <w:r w:rsidRPr="00FB3252">
        <w:rPr>
          <w:rFonts w:ascii="Times New Roman" w:hAnsi="Times New Roman" w:cs="Times New Roman"/>
          <w:noProof/>
          <w:sz w:val="24"/>
        </w:rPr>
        <w:t>. 2000;154(4):361-365. doi:10.1001/archpedi.154.4.361</w:t>
      </w:r>
    </w:p>
    <w:p w14:paraId="2E6CB6BF" w14:textId="36FA61C7" w:rsidR="003B4A97" w:rsidRPr="00D44D5E" w:rsidRDefault="003B4A97" w:rsidP="00FB3252">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p>
    <w:sectPr w:rsidR="003B4A97" w:rsidRPr="00D44D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A41C" w14:textId="77777777" w:rsidR="00CC2D25" w:rsidRDefault="00CC2D25">
      <w:pPr>
        <w:spacing w:after="0" w:line="240" w:lineRule="auto"/>
      </w:pPr>
      <w:r>
        <w:separator/>
      </w:r>
    </w:p>
  </w:endnote>
  <w:endnote w:type="continuationSeparator" w:id="0">
    <w:p w14:paraId="2D800CC4" w14:textId="77777777" w:rsidR="00CC2D25" w:rsidRDefault="00CC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9319" w14:textId="77777777" w:rsidR="00CC2D25" w:rsidRDefault="00CC2D25">
      <w:pPr>
        <w:spacing w:after="0" w:line="240" w:lineRule="auto"/>
      </w:pPr>
      <w:r>
        <w:separator/>
      </w:r>
    </w:p>
  </w:footnote>
  <w:footnote w:type="continuationSeparator" w:id="0">
    <w:p w14:paraId="0D8B36F0" w14:textId="77777777" w:rsidR="00CC2D25" w:rsidRDefault="00CC2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541704"/>
      <w:docPartObj>
        <w:docPartGallery w:val="Page Numbers (Top of Page)"/>
        <w:docPartUnique/>
      </w:docPartObj>
    </w:sdtPr>
    <w:sdtEndPr>
      <w:rPr>
        <w:noProof/>
      </w:rPr>
    </w:sdtEndPr>
    <w:sdtContent>
      <w:p w14:paraId="2A1BBF4B" w14:textId="747115E9" w:rsidR="00984066" w:rsidRDefault="00B9510A">
        <w:pPr>
          <w:pStyle w:val="Header"/>
          <w:jc w:val="right"/>
        </w:pPr>
        <w:r>
          <w:fldChar w:fldCharType="begin"/>
        </w:r>
        <w:r>
          <w:instrText xml:space="preserve"> PAGE   \* MERGEFORMAT </w:instrText>
        </w:r>
        <w:r>
          <w:fldChar w:fldCharType="separate"/>
        </w:r>
        <w:r w:rsidR="00CF4326">
          <w:rPr>
            <w:noProof/>
          </w:rPr>
          <w:t>8</w:t>
        </w:r>
        <w:r>
          <w:rPr>
            <w:noProof/>
          </w:rPr>
          <w:fldChar w:fldCharType="end"/>
        </w:r>
      </w:p>
    </w:sdtContent>
  </w:sdt>
  <w:p w14:paraId="0586591F" w14:textId="77777777" w:rsidR="00984066" w:rsidRDefault="00984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2B"/>
    <w:multiLevelType w:val="hybridMultilevel"/>
    <w:tmpl w:val="541C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811"/>
    <w:multiLevelType w:val="hybridMultilevel"/>
    <w:tmpl w:val="E07C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E4E2A"/>
    <w:multiLevelType w:val="hybridMultilevel"/>
    <w:tmpl w:val="3D368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1CB8"/>
    <w:multiLevelType w:val="hybridMultilevel"/>
    <w:tmpl w:val="FEE2E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D7D5D"/>
    <w:multiLevelType w:val="hybridMultilevel"/>
    <w:tmpl w:val="6040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C59"/>
    <w:multiLevelType w:val="hybridMultilevel"/>
    <w:tmpl w:val="C1C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C4415"/>
    <w:multiLevelType w:val="hybridMultilevel"/>
    <w:tmpl w:val="130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D666B"/>
    <w:multiLevelType w:val="hybridMultilevel"/>
    <w:tmpl w:val="C9B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E6724"/>
    <w:multiLevelType w:val="hybridMultilevel"/>
    <w:tmpl w:val="B51447F6"/>
    <w:lvl w:ilvl="0" w:tplc="89D64C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7223"/>
    <w:multiLevelType w:val="hybridMultilevel"/>
    <w:tmpl w:val="2AB82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F7A13"/>
    <w:multiLevelType w:val="hybridMultilevel"/>
    <w:tmpl w:val="0F1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A5562"/>
    <w:multiLevelType w:val="hybridMultilevel"/>
    <w:tmpl w:val="BE20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83879"/>
    <w:multiLevelType w:val="multilevel"/>
    <w:tmpl w:val="6D189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06970238">
    <w:abstractNumId w:val="7"/>
  </w:num>
  <w:num w:numId="2" w16cid:durableId="611596296">
    <w:abstractNumId w:val="0"/>
  </w:num>
  <w:num w:numId="3" w16cid:durableId="25569247">
    <w:abstractNumId w:val="5"/>
  </w:num>
  <w:num w:numId="4" w16cid:durableId="1841116038">
    <w:abstractNumId w:val="12"/>
  </w:num>
  <w:num w:numId="5" w16cid:durableId="235630935">
    <w:abstractNumId w:val="8"/>
  </w:num>
  <w:num w:numId="6" w16cid:durableId="96802916">
    <w:abstractNumId w:val="11"/>
  </w:num>
  <w:num w:numId="7" w16cid:durableId="300117029">
    <w:abstractNumId w:val="4"/>
  </w:num>
  <w:num w:numId="8" w16cid:durableId="1653211578">
    <w:abstractNumId w:val="2"/>
  </w:num>
  <w:num w:numId="9" w16cid:durableId="777457098">
    <w:abstractNumId w:val="3"/>
  </w:num>
  <w:num w:numId="10" w16cid:durableId="1017733963">
    <w:abstractNumId w:val="1"/>
  </w:num>
  <w:num w:numId="11" w16cid:durableId="426923083">
    <w:abstractNumId w:val="9"/>
  </w:num>
  <w:num w:numId="12" w16cid:durableId="588388259">
    <w:abstractNumId w:val="10"/>
  </w:num>
  <w:num w:numId="13" w16cid:durableId="13048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72"/>
    <w:rsid w:val="000162AB"/>
    <w:rsid w:val="000173EC"/>
    <w:rsid w:val="000622C1"/>
    <w:rsid w:val="00065DAD"/>
    <w:rsid w:val="00093AA7"/>
    <w:rsid w:val="000B476D"/>
    <w:rsid w:val="000D3E0D"/>
    <w:rsid w:val="000E7C25"/>
    <w:rsid w:val="00113892"/>
    <w:rsid w:val="001237E6"/>
    <w:rsid w:val="00134854"/>
    <w:rsid w:val="00141FAA"/>
    <w:rsid w:val="001438A9"/>
    <w:rsid w:val="00170351"/>
    <w:rsid w:val="00170360"/>
    <w:rsid w:val="0017245E"/>
    <w:rsid w:val="001A6EA4"/>
    <w:rsid w:val="001B6CC4"/>
    <w:rsid w:val="001C4E84"/>
    <w:rsid w:val="001D18FA"/>
    <w:rsid w:val="001F026B"/>
    <w:rsid w:val="001F4042"/>
    <w:rsid w:val="002029CC"/>
    <w:rsid w:val="002044B1"/>
    <w:rsid w:val="00215468"/>
    <w:rsid w:val="00220A4E"/>
    <w:rsid w:val="00222016"/>
    <w:rsid w:val="002301BA"/>
    <w:rsid w:val="002312FF"/>
    <w:rsid w:val="00234CB6"/>
    <w:rsid w:val="002378C4"/>
    <w:rsid w:val="0026427C"/>
    <w:rsid w:val="0028519E"/>
    <w:rsid w:val="002B0D25"/>
    <w:rsid w:val="002E2A0D"/>
    <w:rsid w:val="00315AEC"/>
    <w:rsid w:val="00317D60"/>
    <w:rsid w:val="00320D85"/>
    <w:rsid w:val="003B4A97"/>
    <w:rsid w:val="003C11DE"/>
    <w:rsid w:val="003D2577"/>
    <w:rsid w:val="003D6AEA"/>
    <w:rsid w:val="003E71E3"/>
    <w:rsid w:val="00407913"/>
    <w:rsid w:val="004674EF"/>
    <w:rsid w:val="004F080D"/>
    <w:rsid w:val="004F0A3C"/>
    <w:rsid w:val="004F1548"/>
    <w:rsid w:val="00505214"/>
    <w:rsid w:val="00525A63"/>
    <w:rsid w:val="005365A8"/>
    <w:rsid w:val="00546903"/>
    <w:rsid w:val="005726F6"/>
    <w:rsid w:val="005A14DD"/>
    <w:rsid w:val="005A4D47"/>
    <w:rsid w:val="005C1C41"/>
    <w:rsid w:val="005C3E7A"/>
    <w:rsid w:val="005E705F"/>
    <w:rsid w:val="00606DD8"/>
    <w:rsid w:val="00617672"/>
    <w:rsid w:val="00625D5F"/>
    <w:rsid w:val="00653ACC"/>
    <w:rsid w:val="00674E59"/>
    <w:rsid w:val="00690DDC"/>
    <w:rsid w:val="006948EF"/>
    <w:rsid w:val="006A0B21"/>
    <w:rsid w:val="006A11DB"/>
    <w:rsid w:val="006B0B6B"/>
    <w:rsid w:val="006E01AF"/>
    <w:rsid w:val="006E7BB2"/>
    <w:rsid w:val="006F3029"/>
    <w:rsid w:val="006F7500"/>
    <w:rsid w:val="00706545"/>
    <w:rsid w:val="00710D42"/>
    <w:rsid w:val="007112C1"/>
    <w:rsid w:val="0072467E"/>
    <w:rsid w:val="00724E79"/>
    <w:rsid w:val="00730EA8"/>
    <w:rsid w:val="007436F0"/>
    <w:rsid w:val="0076138E"/>
    <w:rsid w:val="00783459"/>
    <w:rsid w:val="007A5D0F"/>
    <w:rsid w:val="007C581A"/>
    <w:rsid w:val="007C7949"/>
    <w:rsid w:val="007D29DE"/>
    <w:rsid w:val="007D708C"/>
    <w:rsid w:val="00810072"/>
    <w:rsid w:val="00842939"/>
    <w:rsid w:val="00851FFF"/>
    <w:rsid w:val="00857E96"/>
    <w:rsid w:val="00870F88"/>
    <w:rsid w:val="00874368"/>
    <w:rsid w:val="00881376"/>
    <w:rsid w:val="008A450C"/>
    <w:rsid w:val="008A621D"/>
    <w:rsid w:val="008A693F"/>
    <w:rsid w:val="008C0031"/>
    <w:rsid w:val="008D21D4"/>
    <w:rsid w:val="008E37B3"/>
    <w:rsid w:val="008E40F3"/>
    <w:rsid w:val="008F24D5"/>
    <w:rsid w:val="00914FCF"/>
    <w:rsid w:val="0091591B"/>
    <w:rsid w:val="00917EAB"/>
    <w:rsid w:val="009215C7"/>
    <w:rsid w:val="00921BCD"/>
    <w:rsid w:val="00924693"/>
    <w:rsid w:val="00955FDE"/>
    <w:rsid w:val="0096273D"/>
    <w:rsid w:val="00984066"/>
    <w:rsid w:val="009941F7"/>
    <w:rsid w:val="009D185C"/>
    <w:rsid w:val="009D3378"/>
    <w:rsid w:val="009E2A2D"/>
    <w:rsid w:val="009E56B9"/>
    <w:rsid w:val="00A11746"/>
    <w:rsid w:val="00A17137"/>
    <w:rsid w:val="00A45758"/>
    <w:rsid w:val="00A52933"/>
    <w:rsid w:val="00A5699E"/>
    <w:rsid w:val="00A70EA3"/>
    <w:rsid w:val="00A7199A"/>
    <w:rsid w:val="00A75ABC"/>
    <w:rsid w:val="00A80FA2"/>
    <w:rsid w:val="00A910C4"/>
    <w:rsid w:val="00AA4321"/>
    <w:rsid w:val="00AA4DEB"/>
    <w:rsid w:val="00AB0AF2"/>
    <w:rsid w:val="00AC3E83"/>
    <w:rsid w:val="00AC71A9"/>
    <w:rsid w:val="00AD0903"/>
    <w:rsid w:val="00B31B27"/>
    <w:rsid w:val="00B47F3D"/>
    <w:rsid w:val="00B52453"/>
    <w:rsid w:val="00B763E5"/>
    <w:rsid w:val="00B9510A"/>
    <w:rsid w:val="00BA734D"/>
    <w:rsid w:val="00BC0727"/>
    <w:rsid w:val="00BD4AD2"/>
    <w:rsid w:val="00BE2518"/>
    <w:rsid w:val="00BE2CE8"/>
    <w:rsid w:val="00C11A60"/>
    <w:rsid w:val="00C16194"/>
    <w:rsid w:val="00C400EC"/>
    <w:rsid w:val="00C54704"/>
    <w:rsid w:val="00C65CFD"/>
    <w:rsid w:val="00C66F92"/>
    <w:rsid w:val="00C7792E"/>
    <w:rsid w:val="00C77E14"/>
    <w:rsid w:val="00CA2172"/>
    <w:rsid w:val="00CA4975"/>
    <w:rsid w:val="00CC2D25"/>
    <w:rsid w:val="00CD67DB"/>
    <w:rsid w:val="00CF4326"/>
    <w:rsid w:val="00D152CB"/>
    <w:rsid w:val="00D37E6A"/>
    <w:rsid w:val="00D44D5E"/>
    <w:rsid w:val="00D51E92"/>
    <w:rsid w:val="00D87A6E"/>
    <w:rsid w:val="00DA4ECA"/>
    <w:rsid w:val="00DD34A2"/>
    <w:rsid w:val="00DE4C61"/>
    <w:rsid w:val="00E66B3B"/>
    <w:rsid w:val="00E82C12"/>
    <w:rsid w:val="00E93350"/>
    <w:rsid w:val="00EA558B"/>
    <w:rsid w:val="00EB6A1E"/>
    <w:rsid w:val="00F03F7C"/>
    <w:rsid w:val="00F3204F"/>
    <w:rsid w:val="00F54FF1"/>
    <w:rsid w:val="00F5776B"/>
    <w:rsid w:val="00F639AB"/>
    <w:rsid w:val="00F71D6E"/>
    <w:rsid w:val="00FB3252"/>
    <w:rsid w:val="00FD2EF3"/>
    <w:rsid w:val="00FD2FD4"/>
    <w:rsid w:val="00FE0365"/>
    <w:rsid w:val="00FE0F89"/>
    <w:rsid w:val="00FE1A65"/>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9887"/>
  <w15:chartTrackingRefBased/>
  <w15:docId w15:val="{CB9AFBDB-2340-4A97-A218-8C56922D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72"/>
    <w:rPr>
      <w:rFonts w:eastAsiaTheme="minorEastAsia"/>
    </w:rPr>
  </w:style>
  <w:style w:type="paragraph" w:styleId="Heading1">
    <w:name w:val="heading 1"/>
    <w:basedOn w:val="Normal"/>
    <w:next w:val="Normal"/>
    <w:link w:val="Heading1Char"/>
    <w:uiPriority w:val="9"/>
    <w:qFormat/>
    <w:rsid w:val="0081007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72"/>
    <w:rPr>
      <w:rFonts w:asciiTheme="majorHAnsi" w:eastAsiaTheme="majorEastAsia" w:hAnsiTheme="majorHAnsi" w:cstheme="majorBidi"/>
      <w:color w:val="2F5496" w:themeColor="accent1" w:themeShade="BF"/>
      <w:sz w:val="32"/>
      <w:szCs w:val="32"/>
      <w:lang w:val="en-AU" w:eastAsia="zh-CN"/>
    </w:rPr>
  </w:style>
  <w:style w:type="character" w:styleId="Hyperlink">
    <w:name w:val="Hyperlink"/>
    <w:basedOn w:val="DefaultParagraphFont"/>
    <w:uiPriority w:val="99"/>
    <w:unhideWhenUsed/>
    <w:rsid w:val="00810072"/>
    <w:rPr>
      <w:color w:val="0563C1" w:themeColor="hyperlink"/>
      <w:u w:val="single"/>
    </w:rPr>
  </w:style>
  <w:style w:type="paragraph" w:customStyle="1" w:styleId="EndNoteBibliography">
    <w:name w:val="EndNote Bibliography"/>
    <w:basedOn w:val="Normal"/>
    <w:link w:val="EndNoteBibliographyChar"/>
    <w:rsid w:val="008100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10072"/>
    <w:rPr>
      <w:rFonts w:ascii="Calibri" w:eastAsiaTheme="minorEastAsia" w:hAnsi="Calibri" w:cs="Calibri"/>
      <w:noProof/>
    </w:rPr>
  </w:style>
  <w:style w:type="paragraph" w:styleId="Header">
    <w:name w:val="header"/>
    <w:basedOn w:val="Normal"/>
    <w:link w:val="HeaderChar"/>
    <w:uiPriority w:val="99"/>
    <w:unhideWhenUsed/>
    <w:rsid w:val="00810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72"/>
    <w:rPr>
      <w:rFonts w:eastAsiaTheme="minorEastAsia"/>
    </w:rPr>
  </w:style>
  <w:style w:type="paragraph" w:styleId="ListParagraph">
    <w:name w:val="List Paragraph"/>
    <w:basedOn w:val="Normal"/>
    <w:uiPriority w:val="34"/>
    <w:qFormat/>
    <w:rsid w:val="00810072"/>
    <w:pPr>
      <w:ind w:left="720"/>
      <w:contextualSpacing/>
    </w:pPr>
  </w:style>
  <w:style w:type="character" w:styleId="CommentReference">
    <w:name w:val="annotation reference"/>
    <w:basedOn w:val="DefaultParagraphFont"/>
    <w:uiPriority w:val="99"/>
    <w:semiHidden/>
    <w:unhideWhenUsed/>
    <w:rsid w:val="00810072"/>
    <w:rPr>
      <w:sz w:val="16"/>
      <w:szCs w:val="16"/>
    </w:rPr>
  </w:style>
  <w:style w:type="paragraph" w:styleId="CommentText">
    <w:name w:val="annotation text"/>
    <w:basedOn w:val="Normal"/>
    <w:link w:val="CommentTextChar"/>
    <w:uiPriority w:val="99"/>
    <w:unhideWhenUsed/>
    <w:rsid w:val="00810072"/>
    <w:pPr>
      <w:spacing w:line="240" w:lineRule="auto"/>
    </w:pPr>
    <w:rPr>
      <w:sz w:val="20"/>
      <w:szCs w:val="20"/>
    </w:rPr>
  </w:style>
  <w:style w:type="character" w:customStyle="1" w:styleId="CommentTextChar">
    <w:name w:val="Comment Text Char"/>
    <w:basedOn w:val="DefaultParagraphFont"/>
    <w:link w:val="CommentText"/>
    <w:uiPriority w:val="99"/>
    <w:rsid w:val="00810072"/>
    <w:rPr>
      <w:rFonts w:eastAsiaTheme="minorEastAsia"/>
      <w:sz w:val="20"/>
      <w:szCs w:val="20"/>
    </w:rPr>
  </w:style>
  <w:style w:type="table" w:styleId="TableGrid">
    <w:name w:val="Table Grid"/>
    <w:basedOn w:val="TableNormal"/>
    <w:uiPriority w:val="39"/>
    <w:rsid w:val="0081007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10072"/>
    <w:pPr>
      <w:autoSpaceDE w:val="0"/>
      <w:autoSpaceDN w:val="0"/>
      <w:adjustRightInd w:val="0"/>
      <w:spacing w:after="0" w:line="240" w:lineRule="auto"/>
    </w:pPr>
    <w:rPr>
      <w:rFonts w:ascii="Tahoma" w:eastAsia="SimSun" w:hAnsi="Tahoma" w:cs="Tahoma"/>
      <w:color w:val="000000"/>
      <w:sz w:val="24"/>
      <w:szCs w:val="24"/>
      <w:lang w:val="en-AU" w:eastAsia="zh-CN"/>
    </w:rPr>
  </w:style>
  <w:style w:type="character" w:customStyle="1" w:styleId="DefaultChar">
    <w:name w:val="Default Char"/>
    <w:basedOn w:val="DefaultParagraphFont"/>
    <w:link w:val="Default"/>
    <w:locked/>
    <w:rsid w:val="00810072"/>
    <w:rPr>
      <w:rFonts w:ascii="Tahoma" w:eastAsia="SimSun" w:hAnsi="Tahoma" w:cs="Tahoma"/>
      <w:color w:val="000000"/>
      <w:sz w:val="24"/>
      <w:szCs w:val="24"/>
      <w:lang w:val="en-AU" w:eastAsia="zh-CN"/>
    </w:rPr>
  </w:style>
  <w:style w:type="paragraph" w:styleId="BalloonText">
    <w:name w:val="Balloon Text"/>
    <w:basedOn w:val="Normal"/>
    <w:link w:val="BalloonTextChar"/>
    <w:uiPriority w:val="99"/>
    <w:semiHidden/>
    <w:unhideWhenUsed/>
    <w:rsid w:val="00810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72"/>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8100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792E"/>
    <w:rPr>
      <w:b/>
      <w:bCs/>
    </w:rPr>
  </w:style>
  <w:style w:type="character" w:customStyle="1" w:styleId="CommentSubjectChar">
    <w:name w:val="Comment Subject Char"/>
    <w:basedOn w:val="CommentTextChar"/>
    <w:link w:val="CommentSubject"/>
    <w:uiPriority w:val="99"/>
    <w:semiHidden/>
    <w:rsid w:val="00C7792E"/>
    <w:rPr>
      <w:rFonts w:eastAsiaTheme="minorEastAsia"/>
      <w:b/>
      <w:bCs/>
      <w:sz w:val="20"/>
      <w:szCs w:val="20"/>
    </w:rPr>
  </w:style>
  <w:style w:type="character" w:styleId="Emphasis">
    <w:name w:val="Emphasis"/>
    <w:basedOn w:val="DefaultParagraphFont"/>
    <w:uiPriority w:val="20"/>
    <w:qFormat/>
    <w:rsid w:val="00113892"/>
    <w:rPr>
      <w:i/>
      <w:iCs/>
    </w:rPr>
  </w:style>
  <w:style w:type="paragraph" w:styleId="NoSpacing">
    <w:name w:val="No Spacing"/>
    <w:uiPriority w:val="1"/>
    <w:qFormat/>
    <w:rsid w:val="00881376"/>
    <w:pPr>
      <w:spacing w:after="0" w:line="240" w:lineRule="auto"/>
    </w:pPr>
    <w:rPr>
      <w:rFonts w:eastAsia="Times New Roman" w:cs="Times New Roman"/>
    </w:rPr>
  </w:style>
  <w:style w:type="paragraph" w:styleId="Revision">
    <w:name w:val="Revision"/>
    <w:hidden/>
    <w:uiPriority w:val="99"/>
    <w:semiHidden/>
    <w:rsid w:val="002044B1"/>
    <w:pPr>
      <w:spacing w:after="0" w:line="240" w:lineRule="auto"/>
    </w:pPr>
    <w:rPr>
      <w:rFonts w:eastAsiaTheme="minorEastAsia"/>
    </w:rPr>
  </w:style>
  <w:style w:type="character" w:styleId="UnresolvedMention">
    <w:name w:val="Unresolved Mention"/>
    <w:basedOn w:val="DefaultParagraphFont"/>
    <w:uiPriority w:val="99"/>
    <w:semiHidden/>
    <w:unhideWhenUsed/>
    <w:rsid w:val="001F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88730">
      <w:bodyDiv w:val="1"/>
      <w:marLeft w:val="0"/>
      <w:marRight w:val="0"/>
      <w:marTop w:val="0"/>
      <w:marBottom w:val="0"/>
      <w:divBdr>
        <w:top w:val="none" w:sz="0" w:space="0" w:color="auto"/>
        <w:left w:val="none" w:sz="0" w:space="0" w:color="auto"/>
        <w:bottom w:val="none" w:sz="0" w:space="0" w:color="auto"/>
        <w:right w:val="none" w:sz="0" w:space="0" w:color="auto"/>
      </w:divBdr>
    </w:div>
    <w:div w:id="7103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AACF-6DD8-4DC2-9E93-167E0451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9488</Words>
  <Characters>54086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Pedersen</dc:creator>
  <cp:keywords/>
  <dc:description/>
  <cp:lastModifiedBy>Samaa Kemal</cp:lastModifiedBy>
  <cp:revision>13</cp:revision>
  <dcterms:created xsi:type="dcterms:W3CDTF">2023-09-17T17:42:00Z</dcterms:created>
  <dcterms:modified xsi:type="dcterms:W3CDTF">2023-10-05T18:22:00Z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6f30842f-b3b3-31bf-a4bc-2710d31ea0da</vt:lpwstr>
  </property>
  <property fmtid="{D5CDD505-2E9C-101B-9397-08002B2CF9AE}" pid="4" name="Mendeley Citation Style_1">
    <vt:lpwstr>http://www.zotero.org/styles/pediatrics</vt:lpwstr>
  </property>
  <property fmtid="{D5CDD505-2E9C-101B-9397-08002B2CF9AE}" pid="5" name="Mendeley Recent Style Id 0_1">
    <vt:lpwstr>http://www.zotero.org/styles/academic-pediatrics</vt:lpwstr>
  </property>
  <property fmtid="{D5CDD505-2E9C-101B-9397-08002B2CF9AE}" pid="6" name="Mendeley Recent Style Name 0_1">
    <vt:lpwstr>Academic Pediatrics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http://www.zotero.org/styles/journal-of-adolescent-health</vt:lpwstr>
  </property>
  <property fmtid="{D5CDD505-2E9C-101B-9397-08002B2CF9AE}" pid="14" name="Mendeley Recent Style Name 4_1">
    <vt:lpwstr>Journal of Adolescent Health</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http://www.zotero.org/styles/pediatrics</vt:lpwstr>
  </property>
  <property fmtid="{D5CDD505-2E9C-101B-9397-08002B2CF9AE}" pid="22" name="Mendeley Recent Style Name 8_1">
    <vt:lpwstr>Pediatrics</vt:lpwstr>
  </property>
  <property fmtid="{D5CDD505-2E9C-101B-9397-08002B2CF9AE}" pid="23" name="Mendeley Recent Style Id 9_1">
    <vt:lpwstr>http://www.zotero.org/styles/the-journal-of-pediatrics</vt:lpwstr>
  </property>
  <property fmtid="{D5CDD505-2E9C-101B-9397-08002B2CF9AE}" pid="24" name="Mendeley Recent Style Name 9_1">
    <vt:lpwstr>The Journal of Pediatrics</vt:lpwstr>
  </property>
</Properties>
</file>