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AE7B" w14:textId="298CC9F9" w:rsidR="00BA21C8" w:rsidRDefault="000964E7">
      <w:pPr>
        <w:rPr>
          <w:rFonts w:ascii="Garamond" w:hAnsi="Garamond"/>
        </w:rPr>
      </w:pPr>
      <w:r w:rsidRPr="000964E7">
        <w:rPr>
          <w:rFonts w:ascii="Garamond" w:hAnsi="Garamond"/>
          <w:b/>
          <w:bCs/>
        </w:rPr>
        <w:t xml:space="preserve">Title: </w:t>
      </w:r>
      <w:r>
        <w:rPr>
          <w:rFonts w:ascii="Garamond" w:hAnsi="Garamond"/>
        </w:rPr>
        <w:t xml:space="preserve">Transitional Care for </w:t>
      </w:r>
      <w:r w:rsidR="00C97BDA">
        <w:rPr>
          <w:rFonts w:ascii="Garamond" w:hAnsi="Garamond"/>
        </w:rPr>
        <w:t xml:space="preserve">Trauma </w:t>
      </w:r>
      <w:r>
        <w:rPr>
          <w:rFonts w:ascii="Garamond" w:hAnsi="Garamond"/>
        </w:rPr>
        <w:t>Surgery: A Scoping Review</w:t>
      </w:r>
    </w:p>
    <w:p w14:paraId="20E4E88D" w14:textId="08BA38CD" w:rsidR="000964E7" w:rsidRDefault="000964E7">
      <w:pPr>
        <w:rPr>
          <w:rFonts w:ascii="Garamond" w:hAnsi="Garamond"/>
        </w:rPr>
      </w:pPr>
    </w:p>
    <w:p w14:paraId="6B21C033" w14:textId="0523B893" w:rsidR="000964E7" w:rsidRPr="00057C27" w:rsidRDefault="000964E7">
      <w:pPr>
        <w:rPr>
          <w:rFonts w:ascii="Garamond" w:hAnsi="Garamond"/>
        </w:rPr>
      </w:pPr>
      <w:r>
        <w:rPr>
          <w:rFonts w:ascii="Garamond" w:hAnsi="Garamond"/>
          <w:b/>
          <w:bCs/>
        </w:rPr>
        <w:t>ABSTRACT</w:t>
      </w:r>
      <w:r w:rsidR="00057C27">
        <w:rPr>
          <w:rFonts w:ascii="Garamond" w:hAnsi="Garamond"/>
          <w:b/>
          <w:bCs/>
        </w:rPr>
        <w:t xml:space="preserve"> </w:t>
      </w:r>
      <w:r w:rsidR="00057C27">
        <w:rPr>
          <w:rFonts w:ascii="Garamond" w:hAnsi="Garamond"/>
        </w:rPr>
        <w:t>– pending.</w:t>
      </w:r>
    </w:p>
    <w:p w14:paraId="064AE8F2" w14:textId="2EB07B01" w:rsidR="000964E7" w:rsidRPr="00F812C1" w:rsidRDefault="000964E7" w:rsidP="00F812C1">
      <w:pPr>
        <w:pStyle w:val="ListParagraph"/>
        <w:numPr>
          <w:ilvl w:val="0"/>
          <w:numId w:val="4"/>
        </w:numPr>
        <w:rPr>
          <w:rFonts w:ascii="Garamond" w:hAnsi="Garamond"/>
          <w:b/>
          <w:bCs/>
        </w:rPr>
      </w:pPr>
      <w:r w:rsidRPr="00F812C1">
        <w:rPr>
          <w:rFonts w:ascii="Garamond" w:hAnsi="Garamond"/>
          <w:b/>
          <w:bCs/>
        </w:rPr>
        <w:t>Background:</w:t>
      </w:r>
    </w:p>
    <w:p w14:paraId="436BA829" w14:textId="7991886E" w:rsidR="000964E7" w:rsidRPr="00F812C1" w:rsidRDefault="000964E7" w:rsidP="00F812C1">
      <w:pPr>
        <w:pStyle w:val="ListParagraph"/>
        <w:numPr>
          <w:ilvl w:val="0"/>
          <w:numId w:val="4"/>
        </w:numPr>
        <w:rPr>
          <w:rFonts w:ascii="Garamond" w:hAnsi="Garamond"/>
          <w:b/>
          <w:bCs/>
        </w:rPr>
      </w:pPr>
      <w:r w:rsidRPr="00F812C1">
        <w:rPr>
          <w:rFonts w:ascii="Garamond" w:hAnsi="Garamond"/>
          <w:b/>
          <w:bCs/>
        </w:rPr>
        <w:t>Objectives:</w:t>
      </w:r>
    </w:p>
    <w:p w14:paraId="10B6566D" w14:textId="11347AF2" w:rsidR="000964E7" w:rsidRPr="00F812C1" w:rsidRDefault="000964E7" w:rsidP="00F812C1">
      <w:pPr>
        <w:pStyle w:val="ListParagraph"/>
        <w:numPr>
          <w:ilvl w:val="0"/>
          <w:numId w:val="4"/>
        </w:numPr>
        <w:rPr>
          <w:rFonts w:ascii="Garamond" w:hAnsi="Garamond"/>
          <w:b/>
          <w:bCs/>
        </w:rPr>
      </w:pPr>
      <w:r w:rsidRPr="00F812C1">
        <w:rPr>
          <w:rFonts w:ascii="Garamond" w:hAnsi="Garamond"/>
          <w:b/>
          <w:bCs/>
        </w:rPr>
        <w:t>Eligibility Criteria:</w:t>
      </w:r>
    </w:p>
    <w:p w14:paraId="0BB4EAB7" w14:textId="261F0773" w:rsidR="000964E7" w:rsidRPr="00F812C1" w:rsidRDefault="000964E7" w:rsidP="00F812C1">
      <w:pPr>
        <w:pStyle w:val="ListParagraph"/>
        <w:numPr>
          <w:ilvl w:val="0"/>
          <w:numId w:val="4"/>
        </w:numPr>
        <w:rPr>
          <w:rFonts w:ascii="Garamond" w:hAnsi="Garamond"/>
          <w:b/>
          <w:bCs/>
        </w:rPr>
      </w:pPr>
      <w:r w:rsidRPr="00F812C1">
        <w:rPr>
          <w:rFonts w:ascii="Garamond" w:hAnsi="Garamond"/>
          <w:b/>
          <w:bCs/>
        </w:rPr>
        <w:t>Sources of Evidence:</w:t>
      </w:r>
    </w:p>
    <w:p w14:paraId="48F48727" w14:textId="7E4CF490" w:rsidR="000964E7" w:rsidRPr="00F812C1" w:rsidRDefault="000964E7" w:rsidP="00F812C1">
      <w:pPr>
        <w:pStyle w:val="ListParagraph"/>
        <w:numPr>
          <w:ilvl w:val="0"/>
          <w:numId w:val="4"/>
        </w:numPr>
        <w:rPr>
          <w:rFonts w:ascii="Garamond" w:hAnsi="Garamond"/>
          <w:b/>
          <w:bCs/>
        </w:rPr>
      </w:pPr>
      <w:r w:rsidRPr="00F812C1">
        <w:rPr>
          <w:rFonts w:ascii="Garamond" w:hAnsi="Garamond"/>
          <w:b/>
          <w:bCs/>
        </w:rPr>
        <w:t>Charting Methods:</w:t>
      </w:r>
    </w:p>
    <w:p w14:paraId="694F2495" w14:textId="2E01BC78" w:rsidR="000964E7" w:rsidRPr="00F812C1" w:rsidRDefault="000964E7" w:rsidP="00F812C1">
      <w:pPr>
        <w:pStyle w:val="ListParagraph"/>
        <w:numPr>
          <w:ilvl w:val="0"/>
          <w:numId w:val="4"/>
        </w:numPr>
        <w:rPr>
          <w:rFonts w:ascii="Garamond" w:hAnsi="Garamond"/>
          <w:b/>
          <w:bCs/>
        </w:rPr>
      </w:pPr>
      <w:r w:rsidRPr="00F812C1">
        <w:rPr>
          <w:rFonts w:ascii="Garamond" w:hAnsi="Garamond"/>
          <w:b/>
          <w:bCs/>
        </w:rPr>
        <w:t>Results:</w:t>
      </w:r>
    </w:p>
    <w:p w14:paraId="13A815D2" w14:textId="6DBF237D" w:rsidR="000964E7" w:rsidRPr="00F812C1" w:rsidRDefault="000964E7" w:rsidP="00F812C1">
      <w:pPr>
        <w:pStyle w:val="ListParagraph"/>
        <w:numPr>
          <w:ilvl w:val="0"/>
          <w:numId w:val="4"/>
        </w:numPr>
        <w:rPr>
          <w:rFonts w:ascii="Garamond" w:hAnsi="Garamond"/>
          <w:b/>
          <w:bCs/>
        </w:rPr>
      </w:pPr>
      <w:r w:rsidRPr="00F812C1">
        <w:rPr>
          <w:rFonts w:ascii="Garamond" w:hAnsi="Garamond"/>
          <w:b/>
          <w:bCs/>
        </w:rPr>
        <w:t>Conclusions:</w:t>
      </w:r>
    </w:p>
    <w:p w14:paraId="58C17250" w14:textId="104B434D" w:rsidR="000964E7" w:rsidRDefault="000964E7">
      <w:pPr>
        <w:rPr>
          <w:rFonts w:ascii="Garamond" w:hAnsi="Garamond"/>
          <w:b/>
          <w:bCs/>
        </w:rPr>
      </w:pPr>
    </w:p>
    <w:p w14:paraId="0A999535" w14:textId="037BC62D" w:rsidR="000964E7" w:rsidRDefault="000964E7">
      <w:pPr>
        <w:rPr>
          <w:rFonts w:ascii="Garamond" w:hAnsi="Garamond"/>
          <w:b/>
          <w:bCs/>
        </w:rPr>
      </w:pPr>
      <w:r>
        <w:rPr>
          <w:rFonts w:ascii="Garamond" w:hAnsi="Garamond"/>
          <w:b/>
          <w:bCs/>
        </w:rPr>
        <w:t>INTRODUCTION</w:t>
      </w:r>
    </w:p>
    <w:p w14:paraId="3E6E4B71" w14:textId="28511681" w:rsidR="000964E7" w:rsidRDefault="000964E7">
      <w:pPr>
        <w:rPr>
          <w:rFonts w:ascii="Garamond" w:hAnsi="Garamond"/>
          <w:b/>
          <w:bCs/>
        </w:rPr>
      </w:pPr>
    </w:p>
    <w:p w14:paraId="49D90E48" w14:textId="246999EC" w:rsidR="000964E7" w:rsidRDefault="000964E7">
      <w:pPr>
        <w:rPr>
          <w:rFonts w:ascii="Garamond" w:hAnsi="Garamond"/>
          <w:b/>
          <w:bCs/>
        </w:rPr>
      </w:pPr>
      <w:r>
        <w:rPr>
          <w:rFonts w:ascii="Garamond" w:hAnsi="Garamond"/>
          <w:b/>
          <w:bCs/>
        </w:rPr>
        <w:t>Rationale:</w:t>
      </w:r>
    </w:p>
    <w:p w14:paraId="4E575018" w14:textId="77777777" w:rsidR="000228F4" w:rsidRDefault="003F78EB" w:rsidP="003F78EB">
      <w:pPr>
        <w:rPr>
          <w:rFonts w:ascii="Garamond" w:hAnsi="Garamond"/>
        </w:rPr>
      </w:pPr>
      <w:r>
        <w:rPr>
          <w:rFonts w:ascii="Garamond" w:hAnsi="Garamond"/>
        </w:rPr>
        <w:t>Transitional Care Programs (TCPs) expanded countrywide following passage of the Affordable Care Act of 2010. Since then, v</w:t>
      </w:r>
      <w:r w:rsidR="004D31C7" w:rsidRPr="004D31C7">
        <w:rPr>
          <w:rFonts w:ascii="Garamond" w:hAnsi="Garamond"/>
        </w:rPr>
        <w:t xml:space="preserve">arious papers </w:t>
      </w:r>
      <w:r w:rsidR="004D31C7">
        <w:rPr>
          <w:rFonts w:ascii="Garamond" w:hAnsi="Garamond"/>
        </w:rPr>
        <w:t xml:space="preserve">across sub-specialties of internal medicine have found significant reductions in hospital length of stay, hospital readmissions, and total costs of hospitalization with </w:t>
      </w:r>
      <w:r w:rsidR="00817C11">
        <w:rPr>
          <w:rFonts w:ascii="Garamond" w:hAnsi="Garamond"/>
        </w:rPr>
        <w:t>TCPs</w:t>
      </w:r>
      <w:r w:rsidR="004D31C7">
        <w:rPr>
          <w:rFonts w:ascii="Garamond" w:hAnsi="Garamond"/>
        </w:rPr>
        <w:t xml:space="preserve">. </w:t>
      </w:r>
      <w:r>
        <w:rPr>
          <w:rFonts w:ascii="Garamond" w:hAnsi="Garamond"/>
        </w:rPr>
        <w:t>Hospitalized</w:t>
      </w:r>
      <w:r w:rsidRPr="003F78EB">
        <w:rPr>
          <w:rFonts w:ascii="Garamond" w:hAnsi="Garamond"/>
        </w:rPr>
        <w:t xml:space="preserve"> patients with complex</w:t>
      </w:r>
      <w:r>
        <w:rPr>
          <w:rFonts w:ascii="Garamond" w:hAnsi="Garamond"/>
        </w:rPr>
        <w:t>,</w:t>
      </w:r>
      <w:r w:rsidRPr="003F78EB">
        <w:rPr>
          <w:rFonts w:ascii="Garamond" w:hAnsi="Garamond"/>
        </w:rPr>
        <w:t xml:space="preserve"> chronic conditions—often the most vulnerable</w:t>
      </w:r>
      <w:r>
        <w:rPr>
          <w:rFonts w:ascii="Garamond" w:hAnsi="Garamond"/>
        </w:rPr>
        <w:t xml:space="preserve"> patients in the health care system</w:t>
      </w:r>
      <w:r w:rsidRPr="003F78EB">
        <w:rPr>
          <w:rFonts w:ascii="Garamond" w:hAnsi="Garamond"/>
        </w:rPr>
        <w:t>—</w:t>
      </w:r>
      <w:r>
        <w:rPr>
          <w:rFonts w:ascii="Garamond" w:hAnsi="Garamond"/>
        </w:rPr>
        <w:t xml:space="preserve">are discharged from the hospital setting to another setting (home, rehab, a different care setting) in </w:t>
      </w:r>
      <w:r w:rsidRPr="003F78EB">
        <w:rPr>
          <w:rFonts w:ascii="Garamond" w:hAnsi="Garamond"/>
        </w:rPr>
        <w:t>a safe and timely manner</w:t>
      </w:r>
      <w:r w:rsidR="00817C11">
        <w:rPr>
          <w:rFonts w:ascii="Garamond" w:hAnsi="Garamond"/>
        </w:rPr>
        <w:t xml:space="preserve"> with these programs</w:t>
      </w:r>
      <w:r>
        <w:rPr>
          <w:rFonts w:ascii="Garamond" w:hAnsi="Garamond"/>
        </w:rPr>
        <w:t xml:space="preserve">. TCPs have been touted as a pillar of health reform. </w:t>
      </w:r>
    </w:p>
    <w:p w14:paraId="0B3DA743" w14:textId="77777777" w:rsidR="000228F4" w:rsidRDefault="000228F4" w:rsidP="003F78EB">
      <w:pPr>
        <w:rPr>
          <w:rFonts w:ascii="Garamond" w:hAnsi="Garamond"/>
        </w:rPr>
      </w:pPr>
    </w:p>
    <w:p w14:paraId="04D4CDBD" w14:textId="06A88D34" w:rsidR="003F78EB" w:rsidRPr="003F78EB" w:rsidRDefault="003F78EB" w:rsidP="003F78EB">
      <w:pPr>
        <w:rPr>
          <w:rFonts w:ascii="Garamond" w:hAnsi="Garamond"/>
        </w:rPr>
      </w:pPr>
      <w:r>
        <w:rPr>
          <w:rFonts w:ascii="Garamond" w:hAnsi="Garamond"/>
        </w:rPr>
        <w:t xml:space="preserve">Little, however, is known about transitional care programs in surgical settings, where marginalized patients often present with highly acute-on-chronic needs with a variety of health issues and complications from pre-existing disease or risk factors. The rationale behind conducting this study is therefore to </w:t>
      </w:r>
      <w:r w:rsidR="00817C11">
        <w:rPr>
          <w:rFonts w:ascii="Garamond" w:hAnsi="Garamond"/>
        </w:rPr>
        <w:t>contribute to the literature on transitional care for surgical populations, in hopes of disseminating both interest in and information about TCP programs and their potential to dramatically improve patient’s lives.</w:t>
      </w:r>
    </w:p>
    <w:p w14:paraId="4D8B8B32" w14:textId="3FF62B0E" w:rsidR="0044536A" w:rsidRPr="004D31C7" w:rsidRDefault="0044536A" w:rsidP="0044536A">
      <w:pPr>
        <w:rPr>
          <w:rFonts w:ascii="Garamond" w:hAnsi="Garamond"/>
        </w:rPr>
      </w:pPr>
    </w:p>
    <w:p w14:paraId="798BA82A" w14:textId="77777777" w:rsidR="004D31C7" w:rsidRDefault="004D31C7" w:rsidP="0044536A">
      <w:pPr>
        <w:rPr>
          <w:rFonts w:ascii="Garamond" w:hAnsi="Garamond"/>
          <w:b/>
          <w:bCs/>
          <w:highlight w:val="yellow"/>
        </w:rPr>
      </w:pPr>
    </w:p>
    <w:p w14:paraId="38641BA9" w14:textId="255D5681" w:rsidR="0044536A" w:rsidRPr="0044536A" w:rsidRDefault="0044536A" w:rsidP="0044536A">
      <w:pPr>
        <w:rPr>
          <w:rFonts w:ascii="Garamond" w:hAnsi="Garamond"/>
          <w:b/>
          <w:bCs/>
        </w:rPr>
      </w:pPr>
      <w:r w:rsidRPr="0044536A">
        <w:rPr>
          <w:rFonts w:ascii="Garamond" w:hAnsi="Garamond"/>
          <w:b/>
          <w:bCs/>
        </w:rPr>
        <w:t>Objectives</w:t>
      </w:r>
    </w:p>
    <w:p w14:paraId="77BF9825" w14:textId="7BCC7163" w:rsidR="00F74341" w:rsidRDefault="00F74341" w:rsidP="0044536A">
      <w:pPr>
        <w:numPr>
          <w:ilvl w:val="0"/>
          <w:numId w:val="2"/>
        </w:numPr>
        <w:rPr>
          <w:rFonts w:ascii="Garamond" w:hAnsi="Garamond"/>
        </w:rPr>
      </w:pPr>
      <w:r w:rsidRPr="00581B46">
        <w:rPr>
          <w:rFonts w:ascii="Garamond" w:hAnsi="Garamond"/>
        </w:rPr>
        <w:t xml:space="preserve">To characterize transitional care programs that exist for </w:t>
      </w:r>
      <w:r w:rsidR="003E5254">
        <w:rPr>
          <w:rFonts w:ascii="Garamond" w:hAnsi="Garamond"/>
        </w:rPr>
        <w:t xml:space="preserve">trauma </w:t>
      </w:r>
      <w:r w:rsidR="00D80981" w:rsidRPr="00167651">
        <w:rPr>
          <w:rFonts w:ascii="Garamond" w:hAnsi="Garamond"/>
        </w:rPr>
        <w:t>surgical</w:t>
      </w:r>
      <w:r w:rsidR="00D80981">
        <w:rPr>
          <w:rFonts w:ascii="Garamond" w:hAnsi="Garamond"/>
        </w:rPr>
        <w:t xml:space="preserve"> patients (includes all subspecialties of trauma – ex: orthopedic trauma, general surgery trauma, neurotrauma, etc.)</w:t>
      </w:r>
      <w:r w:rsidR="00581B46" w:rsidRPr="00581B46">
        <w:rPr>
          <w:rFonts w:ascii="Garamond" w:hAnsi="Garamond"/>
        </w:rPr>
        <w:t>.</w:t>
      </w:r>
    </w:p>
    <w:p w14:paraId="23006342" w14:textId="42BACE41" w:rsidR="0044536A" w:rsidRDefault="0044536A" w:rsidP="0044536A">
      <w:pPr>
        <w:numPr>
          <w:ilvl w:val="0"/>
          <w:numId w:val="2"/>
        </w:numPr>
        <w:rPr>
          <w:rFonts w:ascii="Garamond" w:hAnsi="Garamond"/>
        </w:rPr>
      </w:pPr>
      <w:r w:rsidRPr="00581B46">
        <w:rPr>
          <w:rFonts w:ascii="Garamond" w:hAnsi="Garamond"/>
        </w:rPr>
        <w:t xml:space="preserve">To look at the impact of transitional care programs on trauma surgical patients’ hospital readmission rates, </w:t>
      </w:r>
      <w:r w:rsidR="00057C27" w:rsidRPr="00581B46">
        <w:rPr>
          <w:rFonts w:ascii="Garamond" w:hAnsi="Garamond"/>
        </w:rPr>
        <w:t>hospital length of stay</w:t>
      </w:r>
      <w:r w:rsidRPr="00581B46">
        <w:rPr>
          <w:rFonts w:ascii="Garamond" w:hAnsi="Garamond"/>
        </w:rPr>
        <w:t xml:space="preserve">, </w:t>
      </w:r>
      <w:r w:rsidR="00057C27" w:rsidRPr="00581B46">
        <w:rPr>
          <w:rFonts w:ascii="Garamond" w:hAnsi="Garamond"/>
        </w:rPr>
        <w:t xml:space="preserve">total cost of hospitalization, </w:t>
      </w:r>
      <w:r w:rsidR="00581B46" w:rsidRPr="00581B46">
        <w:rPr>
          <w:rFonts w:ascii="Garamond" w:hAnsi="Garamond"/>
        </w:rPr>
        <w:t>clinic or primary care provider follow-up, and patient perception of ability to care for self.</w:t>
      </w:r>
    </w:p>
    <w:p w14:paraId="08CC5C5F" w14:textId="5DDBA65B" w:rsidR="0044536A" w:rsidRDefault="0044536A" w:rsidP="0044536A">
      <w:pPr>
        <w:rPr>
          <w:rFonts w:ascii="Garamond" w:hAnsi="Garamond"/>
          <w:b/>
          <w:bCs/>
          <w:highlight w:val="yellow"/>
        </w:rPr>
      </w:pPr>
    </w:p>
    <w:p w14:paraId="4E89D29D" w14:textId="4DDCBB9E" w:rsidR="0044536A" w:rsidRDefault="0044536A" w:rsidP="0044536A">
      <w:pPr>
        <w:rPr>
          <w:rFonts w:ascii="Garamond" w:hAnsi="Garamond"/>
          <w:b/>
          <w:bCs/>
        </w:rPr>
      </w:pPr>
      <w:r w:rsidRPr="0044536A">
        <w:rPr>
          <w:rFonts w:ascii="Garamond" w:hAnsi="Garamond"/>
          <w:b/>
          <w:bCs/>
        </w:rPr>
        <w:t>METHODS</w:t>
      </w:r>
    </w:p>
    <w:p w14:paraId="37494CDF" w14:textId="77777777" w:rsidR="0044536A" w:rsidRDefault="0044536A" w:rsidP="0044536A">
      <w:pPr>
        <w:rPr>
          <w:rFonts w:ascii="Garamond" w:hAnsi="Garamond"/>
          <w:b/>
          <w:bCs/>
        </w:rPr>
      </w:pPr>
    </w:p>
    <w:p w14:paraId="28167EDB" w14:textId="3F1B2AF8" w:rsidR="0044536A" w:rsidRDefault="005D601D" w:rsidP="0044536A">
      <w:pPr>
        <w:rPr>
          <w:rFonts w:ascii="Garamond" w:hAnsi="Garamond"/>
          <w:b/>
          <w:bCs/>
        </w:rPr>
      </w:pPr>
      <w:r>
        <w:rPr>
          <w:rFonts w:ascii="Garamond" w:hAnsi="Garamond"/>
          <w:b/>
          <w:bCs/>
        </w:rPr>
        <w:t>Eligibility Criteria</w:t>
      </w:r>
    </w:p>
    <w:p w14:paraId="5851DCF0" w14:textId="77777777" w:rsidR="005D601D" w:rsidRPr="00581B46" w:rsidRDefault="005D601D" w:rsidP="005D601D">
      <w:pPr>
        <w:pStyle w:val="ListParagraph"/>
        <w:numPr>
          <w:ilvl w:val="0"/>
          <w:numId w:val="1"/>
        </w:numPr>
        <w:rPr>
          <w:rFonts w:ascii="Garamond" w:hAnsi="Garamond"/>
        </w:rPr>
      </w:pPr>
      <w:r w:rsidRPr="00581B46">
        <w:rPr>
          <w:rFonts w:ascii="Garamond" w:hAnsi="Garamond"/>
        </w:rPr>
        <w:t>Years considered: 2000 onward</w:t>
      </w:r>
    </w:p>
    <w:p w14:paraId="5795B682" w14:textId="77777777" w:rsidR="005D601D" w:rsidRPr="00581B46" w:rsidRDefault="005D601D" w:rsidP="005D601D">
      <w:pPr>
        <w:pStyle w:val="ListParagraph"/>
        <w:numPr>
          <w:ilvl w:val="0"/>
          <w:numId w:val="1"/>
        </w:numPr>
        <w:rPr>
          <w:rFonts w:ascii="Garamond" w:hAnsi="Garamond"/>
        </w:rPr>
      </w:pPr>
      <w:r w:rsidRPr="00581B46">
        <w:rPr>
          <w:rFonts w:ascii="Garamond" w:hAnsi="Garamond"/>
        </w:rPr>
        <w:t>Language: English</w:t>
      </w:r>
    </w:p>
    <w:p w14:paraId="25877278" w14:textId="2E95C532" w:rsidR="005D601D" w:rsidRPr="00581B46" w:rsidRDefault="005D601D" w:rsidP="005D601D">
      <w:pPr>
        <w:pStyle w:val="ListParagraph"/>
        <w:numPr>
          <w:ilvl w:val="0"/>
          <w:numId w:val="1"/>
        </w:numPr>
        <w:rPr>
          <w:rFonts w:ascii="Garamond" w:hAnsi="Garamond"/>
        </w:rPr>
      </w:pPr>
      <w:r w:rsidRPr="00581B46">
        <w:rPr>
          <w:rFonts w:ascii="Garamond" w:hAnsi="Garamond"/>
        </w:rPr>
        <w:t>Geography: United States</w:t>
      </w:r>
    </w:p>
    <w:p w14:paraId="583F25E2" w14:textId="77777777" w:rsidR="005D601D" w:rsidRPr="00581B46" w:rsidRDefault="005D601D" w:rsidP="005D601D">
      <w:pPr>
        <w:pStyle w:val="ListParagraph"/>
        <w:numPr>
          <w:ilvl w:val="0"/>
          <w:numId w:val="1"/>
        </w:numPr>
        <w:rPr>
          <w:rFonts w:ascii="Garamond" w:hAnsi="Garamond"/>
        </w:rPr>
      </w:pPr>
      <w:r w:rsidRPr="00581B46">
        <w:rPr>
          <w:rFonts w:ascii="Garamond" w:hAnsi="Garamond"/>
        </w:rPr>
        <w:t>Publication Status: Published papers only.</w:t>
      </w:r>
    </w:p>
    <w:p w14:paraId="099D231A" w14:textId="77777777" w:rsidR="005D601D" w:rsidRPr="00581B46" w:rsidRDefault="005D601D" w:rsidP="005D601D">
      <w:pPr>
        <w:pStyle w:val="ListParagraph"/>
        <w:numPr>
          <w:ilvl w:val="0"/>
          <w:numId w:val="1"/>
        </w:numPr>
        <w:rPr>
          <w:rFonts w:ascii="Garamond" w:hAnsi="Garamond"/>
        </w:rPr>
      </w:pPr>
      <w:r w:rsidRPr="00581B46">
        <w:rPr>
          <w:rFonts w:ascii="Garamond" w:hAnsi="Garamond"/>
        </w:rPr>
        <w:t>Population: Adults 18+</w:t>
      </w:r>
    </w:p>
    <w:p w14:paraId="104C4077" w14:textId="6C58414F" w:rsidR="005D601D" w:rsidRDefault="005D601D" w:rsidP="0044536A">
      <w:pPr>
        <w:rPr>
          <w:rFonts w:ascii="Garamond" w:hAnsi="Garamond"/>
          <w:b/>
          <w:bCs/>
        </w:rPr>
      </w:pPr>
    </w:p>
    <w:p w14:paraId="10CE5BA1" w14:textId="1209D40F" w:rsidR="005D601D" w:rsidRDefault="005D601D" w:rsidP="0044536A">
      <w:pPr>
        <w:rPr>
          <w:rFonts w:ascii="Garamond" w:hAnsi="Garamond"/>
          <w:b/>
          <w:bCs/>
        </w:rPr>
      </w:pPr>
      <w:r>
        <w:rPr>
          <w:rFonts w:ascii="Garamond" w:hAnsi="Garamond"/>
          <w:b/>
          <w:bCs/>
        </w:rPr>
        <w:lastRenderedPageBreak/>
        <w:t xml:space="preserve">Information Sources: </w:t>
      </w:r>
    </w:p>
    <w:p w14:paraId="7E54E7C1" w14:textId="77777777" w:rsidR="00034A9B" w:rsidRPr="0006420B" w:rsidRDefault="00034A9B" w:rsidP="00034A9B">
      <w:pPr>
        <w:rPr>
          <w:rFonts w:ascii="Garamond" w:hAnsi="Garamond"/>
        </w:rPr>
      </w:pPr>
      <w:r w:rsidRPr="0006420B">
        <w:rPr>
          <w:rFonts w:ascii="Garamond" w:hAnsi="Garamond"/>
        </w:rPr>
        <w:t>We will search the following databases:</w:t>
      </w:r>
    </w:p>
    <w:p w14:paraId="1A4BD9A4" w14:textId="77777777" w:rsidR="00034A9B" w:rsidRDefault="00034A9B" w:rsidP="00034A9B">
      <w:pPr>
        <w:pStyle w:val="ListParagraph"/>
        <w:numPr>
          <w:ilvl w:val="0"/>
          <w:numId w:val="3"/>
        </w:numPr>
        <w:rPr>
          <w:rFonts w:ascii="Garamond" w:hAnsi="Garamond"/>
        </w:rPr>
      </w:pPr>
      <w:r>
        <w:rPr>
          <w:rFonts w:ascii="Garamond" w:hAnsi="Garamond"/>
        </w:rPr>
        <w:t>Medline (Ovid)</w:t>
      </w:r>
    </w:p>
    <w:p w14:paraId="6AE92C3C" w14:textId="77777777" w:rsidR="00034A9B" w:rsidRDefault="00034A9B" w:rsidP="00034A9B">
      <w:pPr>
        <w:pStyle w:val="ListParagraph"/>
        <w:numPr>
          <w:ilvl w:val="0"/>
          <w:numId w:val="3"/>
        </w:numPr>
        <w:rPr>
          <w:rFonts w:ascii="Garamond" w:hAnsi="Garamond"/>
        </w:rPr>
      </w:pPr>
      <w:r>
        <w:rPr>
          <w:rFonts w:ascii="Garamond" w:hAnsi="Garamond"/>
        </w:rPr>
        <w:t>Cochrane Library (Wiley)</w:t>
      </w:r>
    </w:p>
    <w:p w14:paraId="0E52FAD4" w14:textId="77777777" w:rsidR="00034A9B" w:rsidRDefault="00034A9B" w:rsidP="00034A9B">
      <w:pPr>
        <w:pStyle w:val="ListParagraph"/>
        <w:numPr>
          <w:ilvl w:val="0"/>
          <w:numId w:val="3"/>
        </w:numPr>
        <w:rPr>
          <w:rFonts w:ascii="Garamond" w:hAnsi="Garamond"/>
        </w:rPr>
      </w:pPr>
      <w:r>
        <w:rPr>
          <w:rFonts w:ascii="Garamond" w:hAnsi="Garamond"/>
        </w:rPr>
        <w:t>CINAHL Plus with Full Text (</w:t>
      </w:r>
      <w:proofErr w:type="spellStart"/>
      <w:r>
        <w:rPr>
          <w:rFonts w:ascii="Garamond" w:hAnsi="Garamond"/>
        </w:rPr>
        <w:t>Ebsco</w:t>
      </w:r>
      <w:proofErr w:type="spellEnd"/>
      <w:r>
        <w:rPr>
          <w:rFonts w:ascii="Garamond" w:hAnsi="Garamond"/>
        </w:rPr>
        <w:t>)</w:t>
      </w:r>
    </w:p>
    <w:p w14:paraId="1E1901A4" w14:textId="4C463F15" w:rsidR="001A08D3" w:rsidRPr="00034A9B" w:rsidRDefault="00034A9B" w:rsidP="0044536A">
      <w:pPr>
        <w:pStyle w:val="ListParagraph"/>
        <w:numPr>
          <w:ilvl w:val="0"/>
          <w:numId w:val="3"/>
        </w:numPr>
        <w:rPr>
          <w:rFonts w:ascii="Garamond" w:hAnsi="Garamond"/>
        </w:rPr>
      </w:pPr>
      <w:r>
        <w:rPr>
          <w:rFonts w:ascii="Garamond" w:hAnsi="Garamond"/>
        </w:rPr>
        <w:t>Scopus (</w:t>
      </w:r>
      <w:r w:rsidRPr="00F55EF5">
        <w:rPr>
          <w:rFonts w:ascii="Garamond" w:hAnsi="Garamond"/>
        </w:rPr>
        <w:t>Elsevier</w:t>
      </w:r>
      <w:r>
        <w:rPr>
          <w:rFonts w:ascii="Garamond" w:hAnsi="Garamond"/>
        </w:rPr>
        <w:t>)</w:t>
      </w:r>
    </w:p>
    <w:p w14:paraId="5AE38C52" w14:textId="77777777" w:rsidR="001A08D3" w:rsidRDefault="001A08D3" w:rsidP="0044536A">
      <w:pPr>
        <w:rPr>
          <w:rFonts w:ascii="Garamond" w:hAnsi="Garamond"/>
          <w:b/>
          <w:bCs/>
        </w:rPr>
      </w:pPr>
    </w:p>
    <w:p w14:paraId="22A7716F" w14:textId="77777777" w:rsidR="001A08D3" w:rsidRDefault="001A08D3" w:rsidP="001A08D3">
      <w:pPr>
        <w:rPr>
          <w:rFonts w:ascii="Garamond" w:hAnsi="Garamond"/>
          <w:b/>
          <w:bCs/>
        </w:rPr>
      </w:pPr>
      <w:r>
        <w:rPr>
          <w:rFonts w:ascii="Garamond" w:hAnsi="Garamond"/>
          <w:b/>
          <w:bCs/>
        </w:rPr>
        <w:t>Search Strategy:</w:t>
      </w:r>
    </w:p>
    <w:p w14:paraId="1B3F5646" w14:textId="20BD1CE2" w:rsidR="001A08D3" w:rsidRPr="001A08D3" w:rsidRDefault="001A08D3" w:rsidP="001A08D3">
      <w:pPr>
        <w:rPr>
          <w:rFonts w:ascii="Garamond" w:hAnsi="Garamond"/>
        </w:rPr>
      </w:pPr>
      <w:r w:rsidRPr="001A08D3">
        <w:rPr>
          <w:rFonts w:ascii="Garamond" w:hAnsi="Garamond"/>
        </w:rPr>
        <w:t>We will collaborate with a research librarian to develop a comprehensive search strategy. The search strategy will combine keywords and available controlled vocabulary describing transitional care and trauma. The search will be designed in PubMed and adapted to the list of prespecified databases. We will limit the search to English-language studies published from 2000 to the present. When possible, we will impose limits on publication type and geography. Changes to the search strategy will be documented. The reference lists of included studies will be reviewed for relevant citations.</w:t>
      </w:r>
    </w:p>
    <w:p w14:paraId="1BF1673E" w14:textId="77777777" w:rsidR="001A08D3" w:rsidRDefault="001A08D3" w:rsidP="001A08D3">
      <w:pPr>
        <w:rPr>
          <w:rFonts w:ascii="Garamond" w:hAnsi="Garamond"/>
        </w:rPr>
      </w:pPr>
    </w:p>
    <w:p w14:paraId="67DD757F" w14:textId="697DD8C2" w:rsidR="001A08D3" w:rsidRPr="001A08D3" w:rsidRDefault="001A08D3" w:rsidP="001A08D3">
      <w:pPr>
        <w:rPr>
          <w:rFonts w:ascii="Garamond" w:hAnsi="Garamond"/>
        </w:rPr>
      </w:pPr>
      <w:r w:rsidRPr="001A08D3">
        <w:rPr>
          <w:rFonts w:ascii="Garamond" w:hAnsi="Garamond"/>
        </w:rPr>
        <w:t>Ovid Medline Search</w:t>
      </w:r>
    </w:p>
    <w:p w14:paraId="35F18093" w14:textId="77777777" w:rsidR="001A08D3" w:rsidRPr="001A08D3" w:rsidRDefault="001A08D3" w:rsidP="001A08D3">
      <w:pPr>
        <w:rPr>
          <w:rFonts w:ascii="Garamond" w:hAnsi="Garamond"/>
        </w:rPr>
      </w:pPr>
    </w:p>
    <w:p w14:paraId="3C9DB9FF" w14:textId="77777777" w:rsidR="009317CB" w:rsidRPr="009317CB" w:rsidRDefault="009317CB" w:rsidP="009317CB">
      <w:pPr>
        <w:rPr>
          <w:rFonts w:ascii="Garamond" w:hAnsi="Garamond"/>
        </w:rPr>
      </w:pPr>
      <w:r w:rsidRPr="009317CB">
        <w:rPr>
          <w:rFonts w:ascii="Garamond" w:hAnsi="Garamond"/>
        </w:rPr>
        <w:t>1.</w:t>
      </w:r>
      <w:r w:rsidRPr="009317CB">
        <w:rPr>
          <w:rFonts w:ascii="Garamond" w:hAnsi="Garamond"/>
        </w:rPr>
        <w:tab/>
        <w:t>exp Hospital to Home Transition/</w:t>
      </w:r>
    </w:p>
    <w:p w14:paraId="09F54B40" w14:textId="77777777" w:rsidR="009317CB" w:rsidRPr="009317CB" w:rsidRDefault="009317CB" w:rsidP="009317CB">
      <w:pPr>
        <w:rPr>
          <w:rFonts w:ascii="Garamond" w:hAnsi="Garamond"/>
        </w:rPr>
      </w:pPr>
      <w:r w:rsidRPr="009317CB">
        <w:rPr>
          <w:rFonts w:ascii="Garamond" w:hAnsi="Garamond"/>
        </w:rPr>
        <w:t>2.</w:t>
      </w:r>
      <w:r w:rsidRPr="009317CB">
        <w:rPr>
          <w:rFonts w:ascii="Garamond" w:hAnsi="Garamond"/>
        </w:rPr>
        <w:tab/>
        <w:t>exp *"Continuity of Patient Care"/ and (transition or transitional</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22548109" w14:textId="77777777" w:rsidR="009317CB" w:rsidRPr="009317CB" w:rsidRDefault="009317CB" w:rsidP="009317CB">
      <w:pPr>
        <w:rPr>
          <w:rFonts w:ascii="Garamond" w:hAnsi="Garamond"/>
        </w:rPr>
      </w:pPr>
      <w:r w:rsidRPr="009317CB">
        <w:rPr>
          <w:rFonts w:ascii="Garamond" w:hAnsi="Garamond"/>
        </w:rPr>
        <w:t>3.</w:t>
      </w:r>
      <w:r w:rsidRPr="009317CB">
        <w:rPr>
          <w:rFonts w:ascii="Garamond" w:hAnsi="Garamond"/>
        </w:rPr>
        <w:tab/>
        <w:t>exp Aftercare/ and exp Hospitalization/ and (transition or transitional</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1EE7053F" w14:textId="77777777" w:rsidR="009317CB" w:rsidRPr="009317CB" w:rsidRDefault="009317CB" w:rsidP="009317CB">
      <w:pPr>
        <w:rPr>
          <w:rFonts w:ascii="Garamond" w:hAnsi="Garamond"/>
        </w:rPr>
      </w:pPr>
      <w:r w:rsidRPr="009317CB">
        <w:rPr>
          <w:rFonts w:ascii="Garamond" w:hAnsi="Garamond"/>
        </w:rPr>
        <w:t>4.</w:t>
      </w:r>
      <w:r w:rsidRPr="009317CB">
        <w:rPr>
          <w:rFonts w:ascii="Garamond" w:hAnsi="Garamond"/>
        </w:rPr>
        <w:tab/>
        <w:t>("transitional care" or "care transition"</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1FC10699" w14:textId="77777777" w:rsidR="009317CB" w:rsidRPr="009317CB" w:rsidRDefault="009317CB" w:rsidP="009317CB">
      <w:pPr>
        <w:rPr>
          <w:rFonts w:ascii="Garamond" w:hAnsi="Garamond"/>
        </w:rPr>
      </w:pPr>
      <w:r w:rsidRPr="009317CB">
        <w:rPr>
          <w:rFonts w:ascii="Garamond" w:hAnsi="Garamond"/>
        </w:rPr>
        <w:t>5.</w:t>
      </w:r>
      <w:r w:rsidRPr="009317CB">
        <w:rPr>
          <w:rFonts w:ascii="Garamond" w:hAnsi="Garamond"/>
        </w:rPr>
        <w:tab/>
        <w:t xml:space="preserve">(("post discharge*" or </w:t>
      </w:r>
      <w:proofErr w:type="spellStart"/>
      <w:r w:rsidRPr="009317CB">
        <w:rPr>
          <w:rFonts w:ascii="Garamond" w:hAnsi="Garamond"/>
        </w:rPr>
        <w:t>postdischarge</w:t>
      </w:r>
      <w:proofErr w:type="spellEnd"/>
      <w:r w:rsidRPr="009317CB">
        <w:rPr>
          <w:rFonts w:ascii="Garamond" w:hAnsi="Garamond"/>
        </w:rPr>
        <w:t>* or "after discharge*" or "after hospital*" or "following hospital*" or hospital-to-home or "post hospital*" or posthospital*) adj2 (program* or protocol* or intervention* or aftercare or transition or transitional)</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4B26E4B6" w14:textId="77777777" w:rsidR="009317CB" w:rsidRPr="009317CB" w:rsidRDefault="009317CB" w:rsidP="009317CB">
      <w:pPr>
        <w:rPr>
          <w:rFonts w:ascii="Garamond" w:hAnsi="Garamond"/>
        </w:rPr>
      </w:pPr>
      <w:r w:rsidRPr="009317CB">
        <w:rPr>
          <w:rFonts w:ascii="Garamond" w:hAnsi="Garamond"/>
        </w:rPr>
        <w:t>6.</w:t>
      </w:r>
      <w:r w:rsidRPr="009317CB">
        <w:rPr>
          <w:rFonts w:ascii="Garamond" w:hAnsi="Garamond"/>
        </w:rPr>
        <w:tab/>
        <w:t>(hospitalization* adj2 aftercare</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2E20FEBF" w14:textId="77777777" w:rsidR="009317CB" w:rsidRPr="009317CB" w:rsidRDefault="009317CB" w:rsidP="009317CB">
      <w:pPr>
        <w:rPr>
          <w:rFonts w:ascii="Garamond" w:hAnsi="Garamond"/>
        </w:rPr>
      </w:pPr>
      <w:r w:rsidRPr="009317CB">
        <w:rPr>
          <w:rFonts w:ascii="Garamond" w:hAnsi="Garamond"/>
        </w:rPr>
        <w:t>7.</w:t>
      </w:r>
      <w:r w:rsidRPr="009317CB">
        <w:rPr>
          <w:rFonts w:ascii="Garamond" w:hAnsi="Garamond"/>
        </w:rPr>
        <w:tab/>
        <w:t>((TCP or TCPs) adj2 (program* or transition* or care)</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42D9BD0E" w14:textId="77777777" w:rsidR="009317CB" w:rsidRPr="009317CB" w:rsidRDefault="009317CB" w:rsidP="009317CB">
      <w:pPr>
        <w:rPr>
          <w:rFonts w:ascii="Garamond" w:hAnsi="Garamond"/>
        </w:rPr>
      </w:pPr>
      <w:r w:rsidRPr="009317CB">
        <w:rPr>
          <w:rFonts w:ascii="Garamond" w:hAnsi="Garamond"/>
        </w:rPr>
        <w:t>8.</w:t>
      </w:r>
      <w:r w:rsidRPr="009317CB">
        <w:rPr>
          <w:rFonts w:ascii="Garamond" w:hAnsi="Garamond"/>
        </w:rPr>
        <w:tab/>
        <w:t>(("patient discharge*" or "care continuity" or "continuum of care" or "care continuum" or "continuity of care") and hospital* and (post or after or following)</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3636897E" w14:textId="77777777" w:rsidR="009317CB" w:rsidRPr="009317CB" w:rsidRDefault="009317CB" w:rsidP="009317CB">
      <w:pPr>
        <w:rPr>
          <w:rFonts w:ascii="Garamond" w:hAnsi="Garamond"/>
        </w:rPr>
      </w:pPr>
      <w:r w:rsidRPr="009317CB">
        <w:rPr>
          <w:rFonts w:ascii="Garamond" w:hAnsi="Garamond"/>
        </w:rPr>
        <w:t>9.</w:t>
      </w:r>
      <w:r w:rsidRPr="009317CB">
        <w:rPr>
          <w:rFonts w:ascii="Garamond" w:hAnsi="Garamond"/>
        </w:rPr>
        <w:tab/>
        <w:t>1 or 2 or 3 or 4 or 5 or 6 or 7 or 8</w:t>
      </w:r>
    </w:p>
    <w:p w14:paraId="65458495" w14:textId="77777777" w:rsidR="009317CB" w:rsidRPr="009317CB" w:rsidRDefault="009317CB" w:rsidP="009317CB">
      <w:pPr>
        <w:rPr>
          <w:rFonts w:ascii="Garamond" w:hAnsi="Garamond"/>
        </w:rPr>
      </w:pPr>
      <w:r w:rsidRPr="009317CB">
        <w:rPr>
          <w:rFonts w:ascii="Garamond" w:hAnsi="Garamond"/>
        </w:rPr>
        <w:t>10.</w:t>
      </w:r>
      <w:r w:rsidRPr="009317CB">
        <w:rPr>
          <w:rFonts w:ascii="Garamond" w:hAnsi="Garamond"/>
        </w:rPr>
        <w:tab/>
        <w:t>exp *"Wounds and Injuries"/</w:t>
      </w:r>
    </w:p>
    <w:p w14:paraId="36FC31DB" w14:textId="77777777" w:rsidR="009317CB" w:rsidRPr="009317CB" w:rsidRDefault="009317CB" w:rsidP="009317CB">
      <w:pPr>
        <w:rPr>
          <w:rFonts w:ascii="Garamond" w:hAnsi="Garamond"/>
        </w:rPr>
      </w:pPr>
      <w:r w:rsidRPr="009317CB">
        <w:rPr>
          <w:rFonts w:ascii="Garamond" w:hAnsi="Garamond"/>
        </w:rPr>
        <w:t>11.</w:t>
      </w:r>
      <w:r w:rsidRPr="009317CB">
        <w:rPr>
          <w:rFonts w:ascii="Garamond" w:hAnsi="Garamond"/>
        </w:rPr>
        <w:tab/>
        <w:t>(trauma or traumas or traumatic</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04115D5A" w14:textId="77777777" w:rsidR="009317CB" w:rsidRPr="009317CB" w:rsidRDefault="009317CB" w:rsidP="009317CB">
      <w:pPr>
        <w:rPr>
          <w:rFonts w:ascii="Garamond" w:hAnsi="Garamond"/>
        </w:rPr>
      </w:pPr>
      <w:r w:rsidRPr="009317CB">
        <w:rPr>
          <w:rFonts w:ascii="Garamond" w:hAnsi="Garamond"/>
        </w:rPr>
        <w:t>12.</w:t>
      </w:r>
      <w:r w:rsidRPr="009317CB">
        <w:rPr>
          <w:rFonts w:ascii="Garamond" w:hAnsi="Garamond"/>
        </w:rPr>
        <w:tab/>
        <w:t>((burn or burns or firearm* or gun or guns or gunshot or stab* or vehicle or traffic or car or cars or "interpersonal violence" or deliberate or inflicted or intentional or nonaccidental or non-accidental) adj2 (</w:t>
      </w:r>
      <w:proofErr w:type="spellStart"/>
      <w:r w:rsidRPr="009317CB">
        <w:rPr>
          <w:rFonts w:ascii="Garamond" w:hAnsi="Garamond"/>
        </w:rPr>
        <w:t>injur</w:t>
      </w:r>
      <w:proofErr w:type="spellEnd"/>
      <w:r w:rsidRPr="009317CB">
        <w:rPr>
          <w:rFonts w:ascii="Garamond" w:hAnsi="Garamond"/>
        </w:rPr>
        <w:t>* or wound*)</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2937016A" w14:textId="77777777" w:rsidR="009317CB" w:rsidRPr="009317CB" w:rsidRDefault="009317CB" w:rsidP="009317CB">
      <w:pPr>
        <w:rPr>
          <w:rFonts w:ascii="Garamond" w:hAnsi="Garamond"/>
        </w:rPr>
      </w:pPr>
      <w:r w:rsidRPr="009317CB">
        <w:rPr>
          <w:rFonts w:ascii="Garamond" w:hAnsi="Garamond"/>
        </w:rPr>
        <w:t>13.</w:t>
      </w:r>
      <w:r w:rsidRPr="009317CB">
        <w:rPr>
          <w:rFonts w:ascii="Garamond" w:hAnsi="Garamond"/>
        </w:rPr>
        <w:tab/>
        <w:t xml:space="preserve">((laceration* or </w:t>
      </w:r>
      <w:proofErr w:type="spellStart"/>
      <w:r w:rsidRPr="009317CB">
        <w:rPr>
          <w:rFonts w:ascii="Garamond" w:hAnsi="Garamond"/>
        </w:rPr>
        <w:t>injur</w:t>
      </w:r>
      <w:proofErr w:type="spellEnd"/>
      <w:r w:rsidRPr="009317CB">
        <w:rPr>
          <w:rFonts w:ascii="Garamond" w:hAnsi="Garamond"/>
        </w:rPr>
        <w:t>* or wound*) adj2 (</w:t>
      </w:r>
      <w:proofErr w:type="spellStart"/>
      <w:r w:rsidRPr="009317CB">
        <w:rPr>
          <w:rFonts w:ascii="Garamond" w:hAnsi="Garamond"/>
        </w:rPr>
        <w:t>emergenc</w:t>
      </w:r>
      <w:proofErr w:type="spellEnd"/>
      <w:r w:rsidRPr="009317CB">
        <w:rPr>
          <w:rFonts w:ascii="Garamond" w:hAnsi="Garamond"/>
        </w:rPr>
        <w:t>* or accident* or violence)</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3E3E106E" w14:textId="77777777" w:rsidR="009317CB" w:rsidRPr="009317CB" w:rsidRDefault="009317CB" w:rsidP="009317CB">
      <w:pPr>
        <w:rPr>
          <w:rFonts w:ascii="Garamond" w:hAnsi="Garamond"/>
        </w:rPr>
      </w:pPr>
      <w:r w:rsidRPr="009317CB">
        <w:rPr>
          <w:rFonts w:ascii="Garamond" w:hAnsi="Garamond"/>
        </w:rPr>
        <w:t>14.</w:t>
      </w:r>
      <w:r w:rsidRPr="009317CB">
        <w:rPr>
          <w:rFonts w:ascii="Garamond" w:hAnsi="Garamond"/>
        </w:rPr>
        <w:tab/>
        <w:t xml:space="preserve">(violent adj2 (battery or </w:t>
      </w:r>
      <w:proofErr w:type="spellStart"/>
      <w:r w:rsidRPr="009317CB">
        <w:rPr>
          <w:rFonts w:ascii="Garamond" w:hAnsi="Garamond"/>
        </w:rPr>
        <w:t>injur</w:t>
      </w:r>
      <w:proofErr w:type="spellEnd"/>
      <w:r w:rsidRPr="009317CB">
        <w:rPr>
          <w:rFonts w:ascii="Garamond" w:hAnsi="Garamond"/>
        </w:rPr>
        <w:t>* or wound*)</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6E092C64" w14:textId="77777777" w:rsidR="009317CB" w:rsidRPr="009317CB" w:rsidRDefault="009317CB" w:rsidP="009317CB">
      <w:pPr>
        <w:rPr>
          <w:rFonts w:ascii="Garamond" w:hAnsi="Garamond"/>
        </w:rPr>
      </w:pPr>
      <w:r w:rsidRPr="009317CB">
        <w:rPr>
          <w:rFonts w:ascii="Garamond" w:hAnsi="Garamond"/>
        </w:rPr>
        <w:t>15.</w:t>
      </w:r>
      <w:r w:rsidRPr="009317CB">
        <w:rPr>
          <w:rFonts w:ascii="Garamond" w:hAnsi="Garamond"/>
        </w:rPr>
        <w:tab/>
        <w:t>(violence adj (victim or victims)</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70F8EFC3" w14:textId="77777777" w:rsidR="009317CB" w:rsidRPr="009317CB" w:rsidRDefault="009317CB" w:rsidP="009317CB">
      <w:pPr>
        <w:rPr>
          <w:rFonts w:ascii="Garamond" w:hAnsi="Garamond"/>
        </w:rPr>
      </w:pPr>
      <w:r w:rsidRPr="009317CB">
        <w:rPr>
          <w:rFonts w:ascii="Garamond" w:hAnsi="Garamond"/>
        </w:rPr>
        <w:t>16.</w:t>
      </w:r>
      <w:r w:rsidRPr="009317CB">
        <w:rPr>
          <w:rFonts w:ascii="Garamond" w:hAnsi="Garamond"/>
        </w:rPr>
        <w:tab/>
        <w:t>(</w:t>
      </w:r>
      <w:proofErr w:type="spellStart"/>
      <w:r w:rsidRPr="009317CB">
        <w:rPr>
          <w:rFonts w:ascii="Garamond" w:hAnsi="Garamond"/>
        </w:rPr>
        <w:t>amputat</w:t>
      </w:r>
      <w:proofErr w:type="spellEnd"/>
      <w:r w:rsidRPr="009317CB">
        <w:rPr>
          <w:rFonts w:ascii="Garamond" w:hAnsi="Garamond"/>
        </w:rPr>
        <w:t>* adj (accidental or replantation* or salvaging)</w:t>
      </w:r>
      <w:proofErr w:type="gramStart"/>
      <w:r w:rsidRPr="009317CB">
        <w:rPr>
          <w:rFonts w:ascii="Garamond" w:hAnsi="Garamond"/>
        </w:rPr>
        <w:t>).</w:t>
      </w:r>
      <w:proofErr w:type="spellStart"/>
      <w:r w:rsidRPr="009317CB">
        <w:rPr>
          <w:rFonts w:ascii="Garamond" w:hAnsi="Garamond"/>
        </w:rPr>
        <w:t>ti</w:t>
      </w:r>
      <w:proofErr w:type="gramEnd"/>
      <w:r w:rsidRPr="009317CB">
        <w:rPr>
          <w:rFonts w:ascii="Garamond" w:hAnsi="Garamond"/>
        </w:rPr>
        <w:t>,ab</w:t>
      </w:r>
      <w:proofErr w:type="spellEnd"/>
      <w:r w:rsidRPr="009317CB">
        <w:rPr>
          <w:rFonts w:ascii="Garamond" w:hAnsi="Garamond"/>
        </w:rPr>
        <w:t>.</w:t>
      </w:r>
    </w:p>
    <w:p w14:paraId="1912FA5D" w14:textId="77777777" w:rsidR="009317CB" w:rsidRPr="009317CB" w:rsidRDefault="009317CB" w:rsidP="009317CB">
      <w:pPr>
        <w:rPr>
          <w:rFonts w:ascii="Garamond" w:hAnsi="Garamond"/>
        </w:rPr>
      </w:pPr>
      <w:r w:rsidRPr="009317CB">
        <w:rPr>
          <w:rFonts w:ascii="Garamond" w:hAnsi="Garamond"/>
        </w:rPr>
        <w:t>17.</w:t>
      </w:r>
      <w:r w:rsidRPr="009317CB">
        <w:rPr>
          <w:rFonts w:ascii="Garamond" w:hAnsi="Garamond"/>
        </w:rPr>
        <w:tab/>
        <w:t>10 or 11 or 12 or 13 or 14 or 15 or 16</w:t>
      </w:r>
    </w:p>
    <w:p w14:paraId="081B7244" w14:textId="77777777" w:rsidR="009317CB" w:rsidRPr="009317CB" w:rsidRDefault="009317CB" w:rsidP="009317CB">
      <w:pPr>
        <w:rPr>
          <w:rFonts w:ascii="Garamond" w:hAnsi="Garamond"/>
        </w:rPr>
      </w:pPr>
      <w:r w:rsidRPr="009317CB">
        <w:rPr>
          <w:rFonts w:ascii="Garamond" w:hAnsi="Garamond"/>
        </w:rPr>
        <w:t>18.</w:t>
      </w:r>
      <w:r w:rsidRPr="009317CB">
        <w:rPr>
          <w:rFonts w:ascii="Garamond" w:hAnsi="Garamond"/>
        </w:rPr>
        <w:tab/>
        <w:t>9 and 17</w:t>
      </w:r>
    </w:p>
    <w:p w14:paraId="1FFB6230" w14:textId="77777777" w:rsidR="009317CB" w:rsidRPr="009317CB" w:rsidRDefault="009317CB" w:rsidP="009317CB">
      <w:pPr>
        <w:rPr>
          <w:rFonts w:ascii="Garamond" w:hAnsi="Garamond"/>
        </w:rPr>
      </w:pPr>
      <w:r w:rsidRPr="009317CB">
        <w:rPr>
          <w:rFonts w:ascii="Garamond" w:hAnsi="Garamond"/>
        </w:rPr>
        <w:t>19.</w:t>
      </w:r>
      <w:r w:rsidRPr="009317CB">
        <w:rPr>
          <w:rFonts w:ascii="Garamond" w:hAnsi="Garamond"/>
        </w:rPr>
        <w:tab/>
        <w:t>18 not (comment or editorial or letter</w:t>
      </w:r>
      <w:proofErr w:type="gramStart"/>
      <w:r w:rsidRPr="009317CB">
        <w:rPr>
          <w:rFonts w:ascii="Garamond" w:hAnsi="Garamond"/>
        </w:rPr>
        <w:t>).pt.</w:t>
      </w:r>
      <w:proofErr w:type="gramEnd"/>
    </w:p>
    <w:p w14:paraId="2E44374B" w14:textId="389F55CD" w:rsidR="005D601D" w:rsidRDefault="009317CB" w:rsidP="009317CB">
      <w:pPr>
        <w:rPr>
          <w:rFonts w:ascii="Garamond" w:hAnsi="Garamond"/>
        </w:rPr>
      </w:pPr>
      <w:r w:rsidRPr="009317CB">
        <w:rPr>
          <w:rFonts w:ascii="Garamond" w:hAnsi="Garamond"/>
        </w:rPr>
        <w:t>20.</w:t>
      </w:r>
      <w:r w:rsidRPr="009317CB">
        <w:rPr>
          <w:rFonts w:ascii="Garamond" w:hAnsi="Garamond"/>
        </w:rPr>
        <w:tab/>
        <w:t xml:space="preserve">limit 19 to </w:t>
      </w:r>
      <w:proofErr w:type="spellStart"/>
      <w:r w:rsidRPr="009317CB">
        <w:rPr>
          <w:rFonts w:ascii="Garamond" w:hAnsi="Garamond"/>
        </w:rPr>
        <w:t>english</w:t>
      </w:r>
      <w:proofErr w:type="spellEnd"/>
      <w:r w:rsidRPr="009317CB">
        <w:rPr>
          <w:rFonts w:ascii="Garamond" w:hAnsi="Garamond"/>
        </w:rPr>
        <w:t xml:space="preserve"> language</w:t>
      </w:r>
    </w:p>
    <w:p w14:paraId="53AB58A3" w14:textId="77777777" w:rsidR="009317CB" w:rsidRDefault="009317CB" w:rsidP="009317CB">
      <w:pPr>
        <w:rPr>
          <w:rFonts w:ascii="Garamond" w:hAnsi="Garamond"/>
          <w:b/>
          <w:bCs/>
        </w:rPr>
      </w:pPr>
    </w:p>
    <w:p w14:paraId="11E65126" w14:textId="6552E1BE" w:rsidR="005D601D" w:rsidRDefault="005D601D" w:rsidP="0044536A">
      <w:pPr>
        <w:rPr>
          <w:rFonts w:ascii="Garamond" w:hAnsi="Garamond"/>
          <w:b/>
          <w:bCs/>
        </w:rPr>
      </w:pPr>
      <w:r>
        <w:rPr>
          <w:rFonts w:ascii="Garamond" w:hAnsi="Garamond"/>
          <w:b/>
          <w:bCs/>
        </w:rPr>
        <w:t xml:space="preserve">Selection of Sources of Evidence: </w:t>
      </w:r>
    </w:p>
    <w:p w14:paraId="32BBF0D5" w14:textId="4DF6DD5F" w:rsidR="005D601D" w:rsidRPr="00581B46" w:rsidRDefault="005D601D" w:rsidP="00581B46">
      <w:pPr>
        <w:rPr>
          <w:rFonts w:ascii="Garamond" w:hAnsi="Garamond"/>
        </w:rPr>
      </w:pPr>
      <w:r w:rsidRPr="00581B46">
        <w:rPr>
          <w:rFonts w:ascii="Garamond" w:hAnsi="Garamond"/>
        </w:rPr>
        <w:t xml:space="preserve">At least two reviewers will first independently screen the titles and abstracts from the initial search results to identify potential papers that may fit the criteria. Once identified, these screened papers will then be uploaded as full text articles into Rayyan and then again screened independently to </w:t>
      </w:r>
      <w:r w:rsidRPr="00581B46">
        <w:rPr>
          <w:rFonts w:ascii="Garamond" w:hAnsi="Garamond"/>
        </w:rPr>
        <w:lastRenderedPageBreak/>
        <w:t>ensure that all criteria are truly met. Data will concurrently be extracted as reviewed below. Discrepancies between the reviewers will be resolved through discussion and a third person mediator if needed. All reasons for excluding articles will be recorded along the way.</w:t>
      </w:r>
    </w:p>
    <w:p w14:paraId="1F5F4454" w14:textId="0898DAE5" w:rsidR="005D601D" w:rsidRDefault="005D601D" w:rsidP="005D601D">
      <w:pPr>
        <w:rPr>
          <w:rFonts w:ascii="Garamond" w:hAnsi="Garamond"/>
          <w:b/>
          <w:bCs/>
          <w:highlight w:val="yellow"/>
        </w:rPr>
      </w:pPr>
    </w:p>
    <w:p w14:paraId="6B123431" w14:textId="1FE048D7" w:rsidR="005D601D" w:rsidRDefault="005D601D" w:rsidP="005D601D">
      <w:pPr>
        <w:rPr>
          <w:rFonts w:ascii="Garamond" w:hAnsi="Garamond"/>
          <w:b/>
          <w:bCs/>
        </w:rPr>
      </w:pPr>
      <w:r>
        <w:rPr>
          <w:rFonts w:ascii="Garamond" w:hAnsi="Garamond"/>
          <w:b/>
          <w:bCs/>
        </w:rPr>
        <w:t>Data Charting Process:</w:t>
      </w:r>
    </w:p>
    <w:p w14:paraId="16FC2115" w14:textId="1297668C" w:rsidR="005D601D" w:rsidRPr="00581B46" w:rsidRDefault="005D601D" w:rsidP="00581B46">
      <w:pPr>
        <w:rPr>
          <w:rFonts w:ascii="Garamond" w:hAnsi="Garamond"/>
        </w:rPr>
      </w:pPr>
      <w:r w:rsidRPr="00581B46">
        <w:rPr>
          <w:rFonts w:ascii="Garamond" w:hAnsi="Garamond"/>
        </w:rPr>
        <w:t>Relevant data from the full text articles will be independently extracted by each reviewer using an online extraction form designed by the study team that will be linked to a spreadsheet. Each article will be reviewed and abstracted by two reviewers for more accurate data collection to decide whether the article will be included in the final review. Any inclusion discrepancies between the duplicate responses will be resolved through discussion between reviewers and a third person mediator if needed.</w:t>
      </w:r>
    </w:p>
    <w:p w14:paraId="5545C4F3" w14:textId="55606A9E" w:rsidR="005D601D" w:rsidRDefault="005D601D" w:rsidP="005D601D">
      <w:pPr>
        <w:rPr>
          <w:rFonts w:ascii="Garamond" w:hAnsi="Garamond"/>
          <w:b/>
          <w:bCs/>
          <w:highlight w:val="yellow"/>
        </w:rPr>
      </w:pPr>
    </w:p>
    <w:p w14:paraId="6EE721E3" w14:textId="03896CBD" w:rsidR="005D601D" w:rsidRDefault="005D601D" w:rsidP="005D601D">
      <w:pPr>
        <w:rPr>
          <w:rFonts w:ascii="Garamond" w:hAnsi="Garamond"/>
          <w:b/>
          <w:bCs/>
        </w:rPr>
      </w:pPr>
      <w:r>
        <w:rPr>
          <w:rFonts w:ascii="Garamond" w:hAnsi="Garamond"/>
          <w:b/>
          <w:bCs/>
        </w:rPr>
        <w:t>Data Items:</w:t>
      </w:r>
    </w:p>
    <w:p w14:paraId="1B13291B" w14:textId="0B16D73A" w:rsidR="005D601D" w:rsidRPr="00167651" w:rsidRDefault="00167651" w:rsidP="00167651">
      <w:pPr>
        <w:rPr>
          <w:rFonts w:ascii="Garamond" w:hAnsi="Garamond"/>
        </w:rPr>
      </w:pPr>
      <w:r w:rsidRPr="00167651">
        <w:rPr>
          <w:rFonts w:ascii="Garamond" w:hAnsi="Garamond"/>
        </w:rPr>
        <w:t>All types of studies (case series, case studies, review articles, clinical trials, systematic reviews, etc.) will be utilized except for editorial or opinion papers, or unpublished papers (ex. Working papers, abstracts, etc.).</w:t>
      </w:r>
    </w:p>
    <w:p w14:paraId="16438D32" w14:textId="7A9D1CFB" w:rsidR="00F74341" w:rsidRDefault="00F74341" w:rsidP="00F74341">
      <w:pPr>
        <w:rPr>
          <w:rFonts w:ascii="Garamond" w:hAnsi="Garamond"/>
          <w:b/>
          <w:bCs/>
          <w:highlight w:val="yellow"/>
        </w:rPr>
      </w:pPr>
    </w:p>
    <w:p w14:paraId="786DCF01" w14:textId="325595BA" w:rsidR="00F74341" w:rsidRDefault="00F74341" w:rsidP="00F74341">
      <w:pPr>
        <w:rPr>
          <w:rFonts w:ascii="Garamond" w:hAnsi="Garamond"/>
          <w:b/>
          <w:bCs/>
        </w:rPr>
      </w:pPr>
      <w:r>
        <w:rPr>
          <w:rFonts w:ascii="Garamond" w:hAnsi="Garamond"/>
          <w:b/>
          <w:bCs/>
        </w:rPr>
        <w:t xml:space="preserve">Synthesis of Results: </w:t>
      </w:r>
    </w:p>
    <w:p w14:paraId="0D3310F5" w14:textId="6A7DA4B4" w:rsidR="00F74341" w:rsidRPr="00581B46" w:rsidRDefault="00F74341" w:rsidP="00581B46">
      <w:pPr>
        <w:rPr>
          <w:rFonts w:ascii="Garamond" w:hAnsi="Garamond"/>
        </w:rPr>
      </w:pPr>
      <w:r w:rsidRPr="00581B46">
        <w:rPr>
          <w:rFonts w:ascii="Garamond" w:hAnsi="Garamond"/>
        </w:rPr>
        <w:t xml:space="preserve">Although a meta-analysis is not planned for this review, we plan to conduct a systematic narrative synthesis. We will present the characteristics of existing </w:t>
      </w:r>
      <w:r w:rsidR="00581B46" w:rsidRPr="00581B46">
        <w:rPr>
          <w:rFonts w:ascii="Garamond" w:hAnsi="Garamond"/>
        </w:rPr>
        <w:t>Transitional Care Programs (TCPs)</w:t>
      </w:r>
      <w:r w:rsidRPr="00581B46">
        <w:rPr>
          <w:rFonts w:ascii="Garamond" w:hAnsi="Garamond"/>
        </w:rPr>
        <w:t xml:space="preserve"> as well as quantitative measures of participant needs in text and charts to analyze similar characteristics. We will conduct thematic analysis of quantitative and qualitative measures of </w:t>
      </w:r>
      <w:r w:rsidR="00581B46" w:rsidRPr="00581B46">
        <w:rPr>
          <w:rFonts w:ascii="Garamond" w:hAnsi="Garamond"/>
        </w:rPr>
        <w:t>needs of trauma surgical populations</w:t>
      </w:r>
      <w:r w:rsidRPr="00581B46">
        <w:rPr>
          <w:rFonts w:ascii="Garamond" w:hAnsi="Garamond"/>
        </w:rPr>
        <w:t xml:space="preserve">. Depending on the availability and type of qualifying studies, we hope to discuss the demographics of participants in the programs, mismatch between needs reported to be important for participants and what is offered by current programs, and an objective evaluation of important characteristics of </w:t>
      </w:r>
      <w:r w:rsidR="00581B46" w:rsidRPr="00581B46">
        <w:rPr>
          <w:rFonts w:ascii="Garamond" w:hAnsi="Garamond"/>
        </w:rPr>
        <w:t>TCPs.</w:t>
      </w:r>
    </w:p>
    <w:p w14:paraId="0009F80F" w14:textId="157C2BF6" w:rsidR="00F74341" w:rsidRPr="00F74341" w:rsidRDefault="00F74341" w:rsidP="00F74341">
      <w:pPr>
        <w:rPr>
          <w:rFonts w:ascii="Garamond" w:hAnsi="Garamond"/>
          <w:b/>
          <w:bCs/>
        </w:rPr>
      </w:pPr>
    </w:p>
    <w:sectPr w:rsidR="00F74341" w:rsidRPr="00F74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D5D13"/>
    <w:multiLevelType w:val="hybridMultilevel"/>
    <w:tmpl w:val="BB1C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E35A8"/>
    <w:multiLevelType w:val="hybridMultilevel"/>
    <w:tmpl w:val="BE2EA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B4C03"/>
    <w:multiLevelType w:val="hybridMultilevel"/>
    <w:tmpl w:val="A51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E0AB8"/>
    <w:multiLevelType w:val="hybridMultilevel"/>
    <w:tmpl w:val="C28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E7"/>
    <w:rsid w:val="000228F4"/>
    <w:rsid w:val="00034A9B"/>
    <w:rsid w:val="00057C27"/>
    <w:rsid w:val="00077226"/>
    <w:rsid w:val="000964E7"/>
    <w:rsid w:val="000B7475"/>
    <w:rsid w:val="00167651"/>
    <w:rsid w:val="001A08D3"/>
    <w:rsid w:val="00280321"/>
    <w:rsid w:val="002E1AF0"/>
    <w:rsid w:val="003B11F8"/>
    <w:rsid w:val="003E5254"/>
    <w:rsid w:val="003F78EB"/>
    <w:rsid w:val="0044536A"/>
    <w:rsid w:val="004B0C20"/>
    <w:rsid w:val="004D31C7"/>
    <w:rsid w:val="00581B46"/>
    <w:rsid w:val="005D601D"/>
    <w:rsid w:val="006B5126"/>
    <w:rsid w:val="006F3429"/>
    <w:rsid w:val="00794375"/>
    <w:rsid w:val="007F7E63"/>
    <w:rsid w:val="00817C11"/>
    <w:rsid w:val="008707D4"/>
    <w:rsid w:val="00897886"/>
    <w:rsid w:val="00901E13"/>
    <w:rsid w:val="009317CB"/>
    <w:rsid w:val="00941877"/>
    <w:rsid w:val="009D05EC"/>
    <w:rsid w:val="00AC774A"/>
    <w:rsid w:val="00BA21C8"/>
    <w:rsid w:val="00BE5DBE"/>
    <w:rsid w:val="00C638A9"/>
    <w:rsid w:val="00C97BDA"/>
    <w:rsid w:val="00D10D55"/>
    <w:rsid w:val="00D1365D"/>
    <w:rsid w:val="00D80981"/>
    <w:rsid w:val="00D923B7"/>
    <w:rsid w:val="00EC48EC"/>
    <w:rsid w:val="00F74341"/>
    <w:rsid w:val="00F8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AA49"/>
  <w15:chartTrackingRefBased/>
  <w15:docId w15:val="{38D263F1-47BF-2D47-AEC1-3394ED90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878">
      <w:bodyDiv w:val="1"/>
      <w:marLeft w:val="0"/>
      <w:marRight w:val="0"/>
      <w:marTop w:val="0"/>
      <w:marBottom w:val="0"/>
      <w:divBdr>
        <w:top w:val="none" w:sz="0" w:space="0" w:color="auto"/>
        <w:left w:val="none" w:sz="0" w:space="0" w:color="auto"/>
        <w:bottom w:val="none" w:sz="0" w:space="0" w:color="auto"/>
        <w:right w:val="none" w:sz="0" w:space="0" w:color="auto"/>
      </w:divBdr>
    </w:div>
    <w:div w:id="291181337">
      <w:bodyDiv w:val="1"/>
      <w:marLeft w:val="0"/>
      <w:marRight w:val="0"/>
      <w:marTop w:val="0"/>
      <w:marBottom w:val="0"/>
      <w:divBdr>
        <w:top w:val="none" w:sz="0" w:space="0" w:color="auto"/>
        <w:left w:val="none" w:sz="0" w:space="0" w:color="auto"/>
        <w:bottom w:val="none" w:sz="0" w:space="0" w:color="auto"/>
        <w:right w:val="none" w:sz="0" w:space="0" w:color="auto"/>
      </w:divBdr>
      <w:divsChild>
        <w:div w:id="1727296584">
          <w:marLeft w:val="0"/>
          <w:marRight w:val="0"/>
          <w:marTop w:val="0"/>
          <w:marBottom w:val="0"/>
          <w:divBdr>
            <w:top w:val="none" w:sz="0" w:space="0" w:color="auto"/>
            <w:left w:val="none" w:sz="0" w:space="0" w:color="auto"/>
            <w:bottom w:val="none" w:sz="0" w:space="0" w:color="auto"/>
            <w:right w:val="none" w:sz="0" w:space="0" w:color="auto"/>
          </w:divBdr>
          <w:divsChild>
            <w:div w:id="278686803">
              <w:marLeft w:val="0"/>
              <w:marRight w:val="0"/>
              <w:marTop w:val="0"/>
              <w:marBottom w:val="0"/>
              <w:divBdr>
                <w:top w:val="none" w:sz="0" w:space="0" w:color="auto"/>
                <w:left w:val="none" w:sz="0" w:space="0" w:color="auto"/>
                <w:bottom w:val="none" w:sz="0" w:space="0" w:color="auto"/>
                <w:right w:val="none" w:sz="0" w:space="0" w:color="auto"/>
              </w:divBdr>
              <w:divsChild>
                <w:div w:id="1557424269">
                  <w:marLeft w:val="0"/>
                  <w:marRight w:val="0"/>
                  <w:marTop w:val="0"/>
                  <w:marBottom w:val="0"/>
                  <w:divBdr>
                    <w:top w:val="none" w:sz="0" w:space="0" w:color="auto"/>
                    <w:left w:val="none" w:sz="0" w:space="0" w:color="auto"/>
                    <w:bottom w:val="none" w:sz="0" w:space="0" w:color="auto"/>
                    <w:right w:val="none" w:sz="0" w:space="0" w:color="auto"/>
                  </w:divBdr>
                  <w:divsChild>
                    <w:div w:id="19888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19286">
      <w:bodyDiv w:val="1"/>
      <w:marLeft w:val="0"/>
      <w:marRight w:val="0"/>
      <w:marTop w:val="0"/>
      <w:marBottom w:val="0"/>
      <w:divBdr>
        <w:top w:val="none" w:sz="0" w:space="0" w:color="auto"/>
        <w:left w:val="none" w:sz="0" w:space="0" w:color="auto"/>
        <w:bottom w:val="none" w:sz="0" w:space="0" w:color="auto"/>
        <w:right w:val="none" w:sz="0" w:space="0" w:color="auto"/>
      </w:divBdr>
      <w:divsChild>
        <w:div w:id="1975984616">
          <w:marLeft w:val="0"/>
          <w:marRight w:val="0"/>
          <w:marTop w:val="0"/>
          <w:marBottom w:val="0"/>
          <w:divBdr>
            <w:top w:val="none" w:sz="0" w:space="0" w:color="auto"/>
            <w:left w:val="none" w:sz="0" w:space="0" w:color="auto"/>
            <w:bottom w:val="none" w:sz="0" w:space="0" w:color="auto"/>
            <w:right w:val="none" w:sz="0" w:space="0" w:color="auto"/>
          </w:divBdr>
          <w:divsChild>
            <w:div w:id="1800802074">
              <w:marLeft w:val="0"/>
              <w:marRight w:val="0"/>
              <w:marTop w:val="0"/>
              <w:marBottom w:val="0"/>
              <w:divBdr>
                <w:top w:val="none" w:sz="0" w:space="0" w:color="auto"/>
                <w:left w:val="none" w:sz="0" w:space="0" w:color="auto"/>
                <w:bottom w:val="none" w:sz="0" w:space="0" w:color="auto"/>
                <w:right w:val="none" w:sz="0" w:space="0" w:color="auto"/>
              </w:divBdr>
              <w:divsChild>
                <w:div w:id="1169566122">
                  <w:marLeft w:val="0"/>
                  <w:marRight w:val="0"/>
                  <w:marTop w:val="0"/>
                  <w:marBottom w:val="0"/>
                  <w:divBdr>
                    <w:top w:val="none" w:sz="0" w:space="0" w:color="auto"/>
                    <w:left w:val="none" w:sz="0" w:space="0" w:color="auto"/>
                    <w:bottom w:val="none" w:sz="0" w:space="0" w:color="auto"/>
                    <w:right w:val="none" w:sz="0" w:space="0" w:color="auto"/>
                  </w:divBdr>
                  <w:divsChild>
                    <w:div w:id="1781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 Bharathwaj Baskaran</dc:creator>
  <cp:keywords/>
  <dc:description/>
  <cp:lastModifiedBy>Q. Eileen Wafford</cp:lastModifiedBy>
  <cp:revision>2</cp:revision>
  <dcterms:created xsi:type="dcterms:W3CDTF">2022-03-09T21:01:00Z</dcterms:created>
  <dcterms:modified xsi:type="dcterms:W3CDTF">2022-03-09T21:01:00Z</dcterms:modified>
</cp:coreProperties>
</file>