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A1D0" w14:textId="5A9F0F5D" w:rsidR="00FD4EE8" w:rsidRDefault="00316ABA" w:rsidP="13D05368">
      <w:pPr>
        <w:rPr>
          <w:rFonts w:eastAsia="Arial"/>
          <w:sz w:val="22"/>
        </w:rPr>
      </w:pPr>
      <w:r w:rsidRPr="13D05368">
        <w:rPr>
          <w:rFonts w:eastAsia="Arial"/>
          <w:b/>
          <w:bCs/>
          <w:sz w:val="22"/>
        </w:rPr>
        <w:t>Introduction</w:t>
      </w:r>
      <w:r w:rsidRPr="13D05368">
        <w:rPr>
          <w:rFonts w:eastAsia="Arial"/>
          <w:sz w:val="22"/>
        </w:rPr>
        <w:t xml:space="preserve">: </w:t>
      </w:r>
    </w:p>
    <w:p w14:paraId="333E5CB6" w14:textId="77777777" w:rsidR="00316ABA" w:rsidRDefault="00316ABA" w:rsidP="13D05368">
      <w:pPr>
        <w:rPr>
          <w:rFonts w:eastAsia="Arial"/>
          <w:sz w:val="22"/>
        </w:rPr>
      </w:pPr>
    </w:p>
    <w:p w14:paraId="2A9F1873" w14:textId="09B110FA" w:rsidR="00031371" w:rsidRDefault="6B26AFA4" w:rsidP="13D05368">
      <w:pPr>
        <w:rPr>
          <w:rFonts w:eastAsia="Arial"/>
          <w:sz w:val="22"/>
        </w:rPr>
      </w:pPr>
      <w:r w:rsidRPr="13D05368">
        <w:rPr>
          <w:rFonts w:eastAsia="Arial"/>
          <w:sz w:val="22"/>
        </w:rPr>
        <w:t xml:space="preserve">Food allergy (FA) affects 8% of children in the United States and </w:t>
      </w:r>
      <w:r w:rsidR="0C8E6447" w:rsidRPr="13D05368">
        <w:rPr>
          <w:rFonts w:eastAsia="Arial"/>
          <w:sz w:val="22"/>
        </w:rPr>
        <w:t>wa</w:t>
      </w:r>
      <w:r w:rsidRPr="13D05368">
        <w:rPr>
          <w:rFonts w:eastAsia="Arial"/>
          <w:sz w:val="22"/>
        </w:rPr>
        <w:t>s estimated</w:t>
      </w:r>
      <w:r w:rsidR="5188F9C5" w:rsidRPr="13D05368">
        <w:rPr>
          <w:rFonts w:eastAsia="Arial"/>
          <w:sz w:val="22"/>
        </w:rPr>
        <w:t xml:space="preserve"> in 2013</w:t>
      </w:r>
      <w:r w:rsidRPr="13D05368">
        <w:rPr>
          <w:rFonts w:eastAsia="Arial"/>
          <w:sz w:val="22"/>
        </w:rPr>
        <w:t xml:space="preserve"> t</w:t>
      </w:r>
      <w:r w:rsidR="77416BE1" w:rsidRPr="13D05368">
        <w:rPr>
          <w:rFonts w:eastAsia="Arial"/>
          <w:sz w:val="22"/>
        </w:rPr>
        <w:t xml:space="preserve">o </w:t>
      </w:r>
      <w:r w:rsidR="6C831218" w:rsidRPr="13D05368">
        <w:rPr>
          <w:rFonts w:eastAsia="Arial"/>
          <w:sz w:val="22"/>
        </w:rPr>
        <w:t xml:space="preserve">cost the </w:t>
      </w:r>
      <w:r w:rsidR="5AB8CA8D" w:rsidRPr="13D05368">
        <w:rPr>
          <w:rFonts w:eastAsia="Arial"/>
          <w:sz w:val="22"/>
        </w:rPr>
        <w:t>U.S</w:t>
      </w:r>
      <w:r w:rsidR="6C831218" w:rsidRPr="13D05368">
        <w:rPr>
          <w:rFonts w:eastAsia="Arial"/>
          <w:sz w:val="22"/>
        </w:rPr>
        <w:t xml:space="preserve">. approximately $24.8 billion USD </w:t>
      </w:r>
      <w:r w:rsidR="5AB8CA8D" w:rsidRPr="13D05368">
        <w:rPr>
          <w:rFonts w:eastAsia="Arial"/>
          <w:sz w:val="22"/>
        </w:rPr>
        <w:t>annually</w:t>
      </w:r>
      <w:r w:rsidR="00817C90">
        <w:rPr>
          <w:rFonts w:eastAsia="Arial"/>
          <w:sz w:val="22"/>
        </w:rPr>
        <w:t xml:space="preserve"> – </w:t>
      </w:r>
      <w:r w:rsidR="78FC48FC" w:rsidRPr="13D05368">
        <w:rPr>
          <w:rFonts w:eastAsia="Arial"/>
          <w:sz w:val="22"/>
        </w:rPr>
        <w:t>an estimated</w:t>
      </w:r>
      <w:r w:rsidR="5AB8CA8D" w:rsidRPr="13D05368">
        <w:rPr>
          <w:rFonts w:eastAsia="Arial"/>
          <w:sz w:val="22"/>
        </w:rPr>
        <w:t xml:space="preserve"> $4,184 per year per child in </w:t>
      </w:r>
      <w:r w:rsidR="2A837756" w:rsidRPr="13D05368">
        <w:rPr>
          <w:rFonts w:eastAsia="Arial"/>
          <w:sz w:val="22"/>
        </w:rPr>
        <w:t>a combination of direct medical, out-of-pocket (OOP), lost labor productivity and opportunity costs.</w:t>
      </w:r>
      <w:r w:rsidR="00AE48D8">
        <w:fldChar w:fldCharType="begin"/>
      </w:r>
      <w:r w:rsidR="00B51403">
        <w:instrText xml:space="preserve"> ADDIN ZOTERO_ITEM CSL_CITATION {"citationID":"7EJikAwf","properties":{"formattedCitation":"\\super 1\\nosupersub{}","plainCitation":"1","noteIndex":0},"citationItems":[{"id":1558,"uris":["http://zotero.org/users/4977456/items/FJ9WIEPT"],"itemData":{"id":1558,"type":"article-journal","abstract":"IMPORTANCE: Describing the economic impact of childhood food allergy in the United States is important to guide public health policies.\nOBJECTIVE: To determine the economic impact of childhood food allergy in the United States and caregivers' willingness to pay for food allergy treatment.\nDESIGN, SETTING, AND PARTICIPANTS: A cross-sectional survey was conducted from November 28, 2011, through January 26, 2012. A representative sample of 1643 US caregivers of a child with a current food allergy were recruited for participation.\nMAIN OUTCOMES AND MEASURES: Caregivers of children with food allergies were asked to quantify the direct medical, out-of-pocket, lost labor productivity, and related opportunity costs. As an alternative valuation approach, caregivers were asked their willingness to pay for an effective food allergy treatment.\nRESULTS: The overall economic cost of food allergy was estimated at $24.8 (95% CI, $20.6-$29.4) billion annually ($4184 per year per child). Direct medical costs were $4.3 (95% CI, $2.8-$6.3) billion annually, including clinician visits, emergency department visits, and hospitalizations. Costs borne by the family totaled $20.5 billion annually, including lost labor productivity, out-of-pocket, and opportunity costs. Lost labor productivity costs totaled $0.77 (95% CI, $0.53-$1.0) billion annually, accounting for caregiver time off work for medical visits. Out-of-pocket costs were $5.5 (95% CI, $4.7-$6.4) billion annually, with 31% stemming from the cost of special foods. Opportunity costs totaled $14.2 (95% CI, $10.5-$18.4) billion annually, relating to a caregiver needing to leave or change jobs. Caregivers reported a willingness to pay of $20.8 billion annually ($3504 per year per child) for food allergy treatment.\nCONCLUSIONS AND RELEVANCE: Childhood food allergy results in significant direct medical costs for the US health care system and even larger costs for families with a food-allergic child.","container-title":"JAMA pediatrics","DOI":"10.1001/jamapediatrics.2013.2376","ISSN":"2168-6211","issue":"11","journalAbbreviation":"JAMA Pediatr","language":"eng","note":"PMID: 24042236","page":"1026-1031","source":"PubMed","title":"The economic impact of childhood food allergy in the United States","volume":"167","author":[{"family":"Gupta","given":"Ruchi"},{"family":"Holdford","given":"David"},{"family":"Bilaver","given":"Lucy"},{"family":"Dyer","given":"Ashley"},{"family":"Holl","given":"Jane L."},{"family":"Meltzer","given":"David"}],"issued":{"date-parts":[["2013",11]]}}}],"schema":"https://github.com/citation-style-language/schema/raw/master/csl-citation.json"} </w:instrText>
      </w:r>
      <w:r w:rsidR="00AE48D8">
        <w:fldChar w:fldCharType="separate"/>
      </w:r>
      <w:r w:rsidR="65C2FC34" w:rsidRPr="13D05368">
        <w:rPr>
          <w:rFonts w:eastAsia="Arial"/>
          <w:kern w:val="0"/>
          <w:sz w:val="22"/>
          <w:vertAlign w:val="superscript"/>
        </w:rPr>
        <w:t>1</w:t>
      </w:r>
      <w:r w:rsidR="00AE48D8">
        <w:fldChar w:fldCharType="end"/>
      </w:r>
      <w:r w:rsidR="2A837756" w:rsidRPr="13D05368">
        <w:rPr>
          <w:rFonts w:eastAsia="Arial"/>
          <w:sz w:val="22"/>
        </w:rPr>
        <w:t xml:space="preserve"> </w:t>
      </w:r>
      <w:r w:rsidR="40B9DDD1" w:rsidRPr="13D05368">
        <w:rPr>
          <w:rFonts w:eastAsia="Arial"/>
          <w:sz w:val="22"/>
        </w:rPr>
        <w:t xml:space="preserve">Of this, OOP costs amounted to </w:t>
      </w:r>
      <w:r w:rsidR="03D44632" w:rsidRPr="13D05368">
        <w:rPr>
          <w:rFonts w:eastAsia="Arial"/>
          <w:sz w:val="22"/>
        </w:rPr>
        <w:t xml:space="preserve">roughly </w:t>
      </w:r>
      <w:r w:rsidR="40B9DDD1" w:rsidRPr="13D05368">
        <w:rPr>
          <w:rFonts w:eastAsia="Arial"/>
          <w:sz w:val="22"/>
        </w:rPr>
        <w:t>$5.5 billion annually with one-third of these costs attributable to the cost of special diets and allergen-free foods</w:t>
      </w:r>
      <w:r w:rsidR="12D6E5D4" w:rsidRPr="13D05368">
        <w:rPr>
          <w:rFonts w:eastAsia="Arial"/>
          <w:sz w:val="22"/>
        </w:rPr>
        <w:t>, suggesting that a significant share of the economic burden of FA is borne</w:t>
      </w:r>
      <w:r w:rsidR="2F40E13F" w:rsidRPr="13D05368">
        <w:rPr>
          <w:rFonts w:eastAsia="Arial"/>
          <w:sz w:val="22"/>
        </w:rPr>
        <w:t xml:space="preserve"> by </w:t>
      </w:r>
      <w:r w:rsidR="1CD149AA" w:rsidRPr="13D05368">
        <w:rPr>
          <w:rFonts w:eastAsia="Arial"/>
          <w:sz w:val="22"/>
        </w:rPr>
        <w:t>households</w:t>
      </w:r>
      <w:r w:rsidR="3667E875" w:rsidRPr="13D05368">
        <w:rPr>
          <w:rFonts w:eastAsia="Arial"/>
          <w:sz w:val="22"/>
        </w:rPr>
        <w:t xml:space="preserve"> attempting to avoid dietary exposure to food allergens</w:t>
      </w:r>
      <w:r w:rsidR="12D6E5D4" w:rsidRPr="13D05368">
        <w:rPr>
          <w:rFonts w:eastAsia="Arial"/>
          <w:sz w:val="22"/>
        </w:rPr>
        <w:t>.</w:t>
      </w:r>
      <w:r w:rsidR="11E22B06" w:rsidRPr="13D05368">
        <w:rPr>
          <w:rFonts w:eastAsia="Arial"/>
          <w:sz w:val="22"/>
        </w:rPr>
        <w:t xml:space="preserve"> </w:t>
      </w:r>
      <w:r w:rsidR="002C67A7" w:rsidRPr="13D05368">
        <w:rPr>
          <w:rFonts w:eastAsia="Arial"/>
          <w:sz w:val="22"/>
        </w:rPr>
        <w:t xml:space="preserve">In addition, a substantial portion of OOP costs </w:t>
      </w:r>
      <w:r w:rsidR="00AB6C3E" w:rsidRPr="13D05368">
        <w:rPr>
          <w:rFonts w:eastAsia="Arial"/>
          <w:sz w:val="22"/>
        </w:rPr>
        <w:t>($</w:t>
      </w:r>
      <w:r w:rsidR="004A266D">
        <w:rPr>
          <w:rFonts w:eastAsia="Arial"/>
          <w:sz w:val="22"/>
        </w:rPr>
        <w:t>14.2</w:t>
      </w:r>
      <w:r w:rsidR="00AB6C3E" w:rsidRPr="13D05368">
        <w:rPr>
          <w:rFonts w:eastAsia="Arial"/>
          <w:sz w:val="22"/>
        </w:rPr>
        <w:t xml:space="preserve"> billion</w:t>
      </w:r>
      <w:r w:rsidR="005F672B">
        <w:rPr>
          <w:rFonts w:eastAsia="Arial"/>
          <w:sz w:val="22"/>
        </w:rPr>
        <w:t xml:space="preserve"> annually</w:t>
      </w:r>
      <w:r w:rsidR="00AB6C3E" w:rsidRPr="13D05368">
        <w:rPr>
          <w:rFonts w:eastAsia="Arial"/>
          <w:sz w:val="22"/>
        </w:rPr>
        <w:t xml:space="preserve">) </w:t>
      </w:r>
      <w:r w:rsidR="002C67A7" w:rsidRPr="13D05368">
        <w:rPr>
          <w:rFonts w:eastAsia="Arial"/>
          <w:sz w:val="22"/>
        </w:rPr>
        <w:t xml:space="preserve">stemmed from lost opportunity related to the impact of a child’s food allergy </w:t>
      </w:r>
      <w:r w:rsidR="00B96856" w:rsidRPr="13D05368">
        <w:rPr>
          <w:rFonts w:eastAsia="Arial"/>
          <w:sz w:val="22"/>
        </w:rPr>
        <w:t xml:space="preserve">on </w:t>
      </w:r>
      <w:r w:rsidR="00AB6960" w:rsidRPr="13D05368">
        <w:rPr>
          <w:rFonts w:eastAsia="Arial"/>
          <w:sz w:val="22"/>
        </w:rPr>
        <w:t>a caregiver’s job</w:t>
      </w:r>
      <w:r w:rsidR="00983A02" w:rsidRPr="13D05368">
        <w:rPr>
          <w:rFonts w:eastAsia="Arial"/>
          <w:sz w:val="22"/>
        </w:rPr>
        <w:t xml:space="preserve"> </w:t>
      </w:r>
      <w:r w:rsidR="00AB6C3E" w:rsidRPr="13D05368">
        <w:rPr>
          <w:rFonts w:eastAsia="Arial"/>
          <w:sz w:val="22"/>
        </w:rPr>
        <w:t>and career options.</w:t>
      </w:r>
    </w:p>
    <w:p w14:paraId="3DC3EFBD" w14:textId="77777777" w:rsidR="00031371" w:rsidRDefault="00031371" w:rsidP="13D05368">
      <w:pPr>
        <w:rPr>
          <w:rFonts w:eastAsia="Arial"/>
          <w:sz w:val="22"/>
        </w:rPr>
      </w:pPr>
    </w:p>
    <w:p w14:paraId="5F5E48CC" w14:textId="20BB97F9" w:rsidR="00AB6C3E" w:rsidRDefault="00A83195" w:rsidP="13D05368">
      <w:pPr>
        <w:rPr>
          <w:rFonts w:eastAsia="Arial"/>
          <w:sz w:val="22"/>
        </w:rPr>
      </w:pPr>
      <w:r w:rsidRPr="13D05368">
        <w:rPr>
          <w:rFonts w:eastAsia="Arial"/>
          <w:sz w:val="22"/>
        </w:rPr>
        <w:t>There is</w:t>
      </w:r>
      <w:r w:rsidR="00AB6C3E" w:rsidRPr="13D05368">
        <w:rPr>
          <w:rFonts w:eastAsia="Arial"/>
          <w:sz w:val="22"/>
        </w:rPr>
        <w:t xml:space="preserve"> </w:t>
      </w:r>
      <w:r w:rsidRPr="13D05368">
        <w:rPr>
          <w:rFonts w:eastAsia="Arial"/>
          <w:sz w:val="22"/>
        </w:rPr>
        <w:t xml:space="preserve">very </w:t>
      </w:r>
      <w:r w:rsidR="00AB6C3E" w:rsidRPr="13D05368">
        <w:rPr>
          <w:rFonts w:eastAsia="Arial"/>
          <w:sz w:val="22"/>
        </w:rPr>
        <w:t xml:space="preserve">limited literature about differences in the economic burden of FA </w:t>
      </w:r>
      <w:r w:rsidR="00436875" w:rsidRPr="13D05368">
        <w:rPr>
          <w:rFonts w:eastAsia="Arial"/>
          <w:sz w:val="22"/>
        </w:rPr>
        <w:t>by socioeconomic characteristics of</w:t>
      </w:r>
      <w:r w:rsidR="009465A8" w:rsidRPr="13D05368">
        <w:rPr>
          <w:rFonts w:eastAsia="Arial"/>
          <w:sz w:val="22"/>
        </w:rPr>
        <w:t xml:space="preserve"> individuals and their families living with the condition</w:t>
      </w:r>
      <w:r w:rsidR="004C4CF2" w:rsidRPr="13D05368">
        <w:rPr>
          <w:rFonts w:eastAsia="Arial"/>
          <w:sz w:val="22"/>
        </w:rPr>
        <w:t xml:space="preserve">.  </w:t>
      </w:r>
      <w:r w:rsidR="009465A8" w:rsidRPr="13D05368">
        <w:rPr>
          <w:rFonts w:eastAsia="Arial"/>
          <w:sz w:val="22"/>
        </w:rPr>
        <w:t>A 2016 study</w:t>
      </w:r>
      <w:r w:rsidR="0077219F" w:rsidRPr="13D05368">
        <w:rPr>
          <w:rFonts w:eastAsia="Arial"/>
          <w:sz w:val="22"/>
        </w:rPr>
        <w:t>,</w:t>
      </w:r>
      <w:r w:rsidR="009465A8" w:rsidRPr="13D05368">
        <w:rPr>
          <w:rFonts w:eastAsia="Arial"/>
          <w:sz w:val="22"/>
        </w:rPr>
        <w:t xml:space="preserve"> based on the </w:t>
      </w:r>
      <w:r w:rsidR="00EA2A54" w:rsidRPr="13D05368">
        <w:rPr>
          <w:rFonts w:eastAsia="Arial"/>
          <w:sz w:val="22"/>
        </w:rPr>
        <w:t xml:space="preserve">same nationally representative sample </w:t>
      </w:r>
      <w:r w:rsidR="0077219F" w:rsidRPr="13D05368">
        <w:rPr>
          <w:rFonts w:eastAsia="Arial"/>
          <w:sz w:val="22"/>
        </w:rPr>
        <w:t xml:space="preserve">that estimated total costs, found that </w:t>
      </w:r>
      <w:r w:rsidR="00AB6C3E" w:rsidRPr="13D05368">
        <w:rPr>
          <w:rFonts w:eastAsia="Arial"/>
          <w:sz w:val="22"/>
        </w:rPr>
        <w:t>African American caregivers incurred the lowest amount of direct medical costs and had the least OOP costs</w:t>
      </w:r>
      <w:r w:rsidR="0077219F" w:rsidRPr="13D05368">
        <w:rPr>
          <w:rFonts w:eastAsia="Arial"/>
          <w:sz w:val="22"/>
        </w:rPr>
        <w:t>.</w:t>
      </w:r>
      <w:r w:rsidR="00831FFF">
        <w:rPr>
          <w:rFonts w:eastAsia="Arial"/>
          <w:sz w:val="22"/>
        </w:rPr>
        <w:fldChar w:fldCharType="begin"/>
      </w:r>
      <w:r w:rsidR="00207ADC">
        <w:rPr>
          <w:rFonts w:eastAsia="Arial"/>
          <w:sz w:val="22"/>
        </w:rPr>
        <w:instrText xml:space="preserve"> ADDIN ZOTERO_ITEM CSL_CITATION {"citationID":"xjacRmc6","properties":{"formattedCitation":"\\super 2\\nosupersub{}","plainCitation":"2","noteIndex":0},"citationItems":[{"id":1561,"uris":["http://zotero.org/users/4977456/items/8C4IA3HA"],"itemData":{"id":1561,"type":"article-journal","abstract":"OBJECTIVES: We compared direct medical costs borne by the health care system and out-of-pocket costs borne by families for children with food allergy by socioeconomic characteristics.\nMETHODS: We analyzed cross-sectional survey data collected between November 2011 and January 2012 from 1643 US caregivers with a food-allergic child. We used a 2-part regression model to estimate mean costs and identified differences by levels of household income and race or ethnicity.\nRESULTS: Children in the lowest income stratum incurred 2.5 times the amount of emergency department and hospitalization costs as a result of their food allergy than higher-income children ($1021, SE ±$209, vs $416, SE ±$94; P &lt; .05). Costs incurred for specialist visits were lower in the lowest income group ($228, SE ±$21) compared with the highest income group ($311, SE ±$18; P &lt; .01) as was spending on out-of-pocket medication costs ($117, SE ± $26, lowest income; $366, SE ±$44, highest income; P &lt; .001). African American caregivers incurred the lowest amount of direct medical costs and spent the least on out-of-pocket costs, with average adjusted costs of $493 (SE ±$109) and $395 (SE ±$452), respectively.\nCONCLUSIONS: Disparities exist in the economic impact of food allergy based on socioeconomic status. Affordable access to specialty care, medications, and allergen-free foods are critical to keep all food-allergic children safe, regardless of income and race.","container-title":"Pediatrics","DOI":"10.1542/peds.2015-3678","ISSN":"1098-4275","issue":"5","journalAbbreviation":"Pediatrics","language":"eng","note":"PMID: 27244806","page":"e20153678","source":"PubMed","title":"Socioeconomic Disparities in the Economic Impact of Childhood Food Allergy","volume":"137","author":[{"family":"Bilaver","given":"Lucy A."},{"family":"Kester","given":"Kristen M."},{"family":"Smith","given":"Bridget M."},{"family":"Gupta","given":"Ruchi S."}],"issued":{"date-parts":[["2016",5]]}}}],"schema":"https://github.com/citation-style-language/schema/raw/master/csl-citation.json"} </w:instrText>
      </w:r>
      <w:r w:rsidR="00831FFF">
        <w:rPr>
          <w:rFonts w:eastAsia="Arial"/>
          <w:sz w:val="22"/>
        </w:rPr>
        <w:fldChar w:fldCharType="separate"/>
      </w:r>
      <w:r w:rsidR="00207ADC" w:rsidRPr="00207ADC">
        <w:rPr>
          <w:kern w:val="0"/>
          <w:sz w:val="22"/>
          <w:vertAlign w:val="superscript"/>
        </w:rPr>
        <w:t>2</w:t>
      </w:r>
      <w:r w:rsidR="00831FFF">
        <w:rPr>
          <w:rFonts w:eastAsia="Arial"/>
          <w:sz w:val="22"/>
        </w:rPr>
        <w:fldChar w:fldCharType="end"/>
      </w:r>
      <w:r w:rsidR="0077219F" w:rsidRPr="13D05368">
        <w:rPr>
          <w:rFonts w:eastAsia="Arial"/>
          <w:sz w:val="22"/>
        </w:rPr>
        <w:t xml:space="preserve">  In addition, </w:t>
      </w:r>
      <w:r w:rsidR="00AB6C3E" w:rsidRPr="13D05368">
        <w:rPr>
          <w:rFonts w:eastAsia="Arial"/>
          <w:sz w:val="22"/>
        </w:rPr>
        <w:t xml:space="preserve">children in the lowest income households </w:t>
      </w:r>
      <w:r w:rsidR="0077219F" w:rsidRPr="13D05368">
        <w:rPr>
          <w:rFonts w:eastAsia="Arial"/>
          <w:sz w:val="22"/>
        </w:rPr>
        <w:t xml:space="preserve">(&lt;$50K per year) </w:t>
      </w:r>
      <w:r w:rsidR="00AB6C3E" w:rsidRPr="13D05368">
        <w:rPr>
          <w:rFonts w:eastAsia="Arial"/>
          <w:sz w:val="22"/>
        </w:rPr>
        <w:t xml:space="preserve">had more than twice the amount of </w:t>
      </w:r>
      <w:r w:rsidR="00806A8B" w:rsidRPr="13D05368">
        <w:rPr>
          <w:rFonts w:eastAsia="Arial"/>
          <w:sz w:val="22"/>
        </w:rPr>
        <w:t>emergency department (</w:t>
      </w:r>
      <w:r w:rsidR="00AB6C3E" w:rsidRPr="13D05368">
        <w:rPr>
          <w:rFonts w:eastAsia="Arial"/>
          <w:sz w:val="22"/>
        </w:rPr>
        <w:t>ED</w:t>
      </w:r>
      <w:r w:rsidR="00806A8B" w:rsidRPr="13D05368">
        <w:rPr>
          <w:rFonts w:eastAsia="Arial"/>
          <w:sz w:val="22"/>
        </w:rPr>
        <w:t>)</w:t>
      </w:r>
      <w:r w:rsidR="00AB6C3E" w:rsidRPr="13D05368">
        <w:rPr>
          <w:rFonts w:eastAsia="Arial"/>
          <w:sz w:val="22"/>
        </w:rPr>
        <w:t xml:space="preserve"> </w:t>
      </w:r>
      <w:r w:rsidR="00DD0E1C" w:rsidRPr="13D05368">
        <w:rPr>
          <w:rFonts w:eastAsia="Arial"/>
          <w:sz w:val="22"/>
        </w:rPr>
        <w:t xml:space="preserve">and </w:t>
      </w:r>
      <w:r w:rsidR="00383576" w:rsidRPr="13D05368">
        <w:rPr>
          <w:rFonts w:eastAsia="Arial"/>
          <w:sz w:val="22"/>
        </w:rPr>
        <w:t>hospitalization</w:t>
      </w:r>
      <w:r w:rsidR="00DD0E1C" w:rsidRPr="13D05368">
        <w:rPr>
          <w:rFonts w:eastAsia="Arial"/>
          <w:sz w:val="22"/>
        </w:rPr>
        <w:t xml:space="preserve"> </w:t>
      </w:r>
      <w:r w:rsidR="00680026" w:rsidRPr="13D05368">
        <w:rPr>
          <w:rFonts w:eastAsia="Arial"/>
          <w:sz w:val="22"/>
        </w:rPr>
        <w:t xml:space="preserve">costs </w:t>
      </w:r>
      <w:r w:rsidR="00AB6C3E" w:rsidRPr="13D05368">
        <w:rPr>
          <w:rFonts w:eastAsia="Arial"/>
          <w:sz w:val="22"/>
        </w:rPr>
        <w:t xml:space="preserve">compared to children in higher income households. </w:t>
      </w:r>
      <w:r w:rsidR="00D45C7E">
        <w:rPr>
          <w:rFonts w:eastAsia="Arial"/>
          <w:sz w:val="22"/>
        </w:rPr>
        <w:t>However</w:t>
      </w:r>
      <w:r w:rsidR="00AB6C3E" w:rsidRPr="13D05368">
        <w:rPr>
          <w:rFonts w:eastAsia="Arial"/>
          <w:sz w:val="22"/>
        </w:rPr>
        <w:t>, th</w:t>
      </w:r>
      <w:r w:rsidR="00D45C7E">
        <w:rPr>
          <w:rFonts w:eastAsia="Arial"/>
          <w:sz w:val="22"/>
        </w:rPr>
        <w:t>is</w:t>
      </w:r>
      <w:r w:rsidR="00AB6C3E" w:rsidRPr="13D05368">
        <w:rPr>
          <w:rFonts w:eastAsia="Arial"/>
          <w:sz w:val="22"/>
        </w:rPr>
        <w:t xml:space="preserve"> </w:t>
      </w:r>
      <w:r w:rsidR="00215AAB">
        <w:rPr>
          <w:rFonts w:eastAsia="Arial"/>
          <w:sz w:val="22"/>
        </w:rPr>
        <w:t>s</w:t>
      </w:r>
      <w:r w:rsidR="00D45C7E">
        <w:rPr>
          <w:rFonts w:eastAsia="Arial"/>
          <w:sz w:val="22"/>
        </w:rPr>
        <w:t>urvey</w:t>
      </w:r>
      <w:r w:rsidR="003522B5">
        <w:rPr>
          <w:rFonts w:eastAsia="Arial"/>
          <w:sz w:val="22"/>
        </w:rPr>
        <w:t xml:space="preserve"> </w:t>
      </w:r>
      <w:r w:rsidR="00C14E82" w:rsidRPr="13D05368">
        <w:rPr>
          <w:rFonts w:eastAsia="Arial"/>
          <w:sz w:val="22"/>
        </w:rPr>
        <w:t>sample</w:t>
      </w:r>
      <w:r w:rsidR="00215AAB">
        <w:rPr>
          <w:rFonts w:eastAsia="Arial"/>
          <w:sz w:val="22"/>
        </w:rPr>
        <w:t>d participants based on</w:t>
      </w:r>
      <w:r w:rsidR="003522B5">
        <w:rPr>
          <w:rFonts w:eastAsia="Arial"/>
          <w:sz w:val="22"/>
        </w:rPr>
        <w:t xml:space="preserve"> </w:t>
      </w:r>
      <w:r w:rsidR="00C14E82" w:rsidRPr="13D05368">
        <w:rPr>
          <w:rFonts w:eastAsia="Arial"/>
          <w:sz w:val="22"/>
        </w:rPr>
        <w:t>parent-reported food allergy</w:t>
      </w:r>
      <w:r w:rsidR="00614514" w:rsidRPr="13D05368">
        <w:rPr>
          <w:rFonts w:eastAsia="Arial"/>
          <w:sz w:val="22"/>
        </w:rPr>
        <w:t xml:space="preserve"> </w:t>
      </w:r>
      <w:r w:rsidR="00AB6C3E" w:rsidRPr="13D05368">
        <w:rPr>
          <w:rFonts w:eastAsia="Arial"/>
          <w:sz w:val="22"/>
        </w:rPr>
        <w:t xml:space="preserve">and </w:t>
      </w:r>
      <w:r w:rsidR="00A81E51" w:rsidRPr="13D05368">
        <w:rPr>
          <w:rFonts w:eastAsia="Arial"/>
          <w:sz w:val="22"/>
        </w:rPr>
        <w:t>therefore</w:t>
      </w:r>
      <w:r w:rsidR="00215AAB">
        <w:rPr>
          <w:rFonts w:eastAsia="Arial"/>
          <w:sz w:val="22"/>
        </w:rPr>
        <w:t xml:space="preserve"> r</w:t>
      </w:r>
      <w:r w:rsidR="00895D53">
        <w:rPr>
          <w:rFonts w:eastAsia="Arial"/>
          <w:sz w:val="22"/>
        </w:rPr>
        <w:t>esulting est</w:t>
      </w:r>
      <w:r w:rsidR="00215AAB">
        <w:rPr>
          <w:rFonts w:eastAsia="Arial"/>
          <w:sz w:val="22"/>
        </w:rPr>
        <w:t xml:space="preserve">imates </w:t>
      </w:r>
      <w:r w:rsidR="00A81E51" w:rsidRPr="13D05368">
        <w:rPr>
          <w:rFonts w:eastAsia="Arial"/>
          <w:sz w:val="22"/>
        </w:rPr>
        <w:t>d</w:t>
      </w:r>
      <w:r w:rsidR="00895D53">
        <w:rPr>
          <w:rFonts w:eastAsia="Arial"/>
          <w:sz w:val="22"/>
        </w:rPr>
        <w:t>o</w:t>
      </w:r>
      <w:r w:rsidR="00A81E51" w:rsidRPr="13D05368">
        <w:rPr>
          <w:rFonts w:eastAsia="Arial"/>
          <w:sz w:val="22"/>
        </w:rPr>
        <w:t xml:space="preserve"> not reflect the </w:t>
      </w:r>
      <w:r w:rsidR="00A83558">
        <w:rPr>
          <w:rFonts w:eastAsia="Arial"/>
          <w:sz w:val="22"/>
        </w:rPr>
        <w:t xml:space="preserve">full extent of </w:t>
      </w:r>
      <w:r w:rsidR="00A81E51" w:rsidRPr="13D05368">
        <w:rPr>
          <w:rFonts w:eastAsia="Arial"/>
          <w:sz w:val="22"/>
        </w:rPr>
        <w:t xml:space="preserve">costs </w:t>
      </w:r>
      <w:r w:rsidR="00A83558">
        <w:rPr>
          <w:rFonts w:eastAsia="Arial"/>
          <w:sz w:val="22"/>
        </w:rPr>
        <w:t>incurred by</w:t>
      </w:r>
      <w:r w:rsidR="00A81E51" w:rsidRPr="13D05368">
        <w:rPr>
          <w:rFonts w:eastAsia="Arial"/>
          <w:sz w:val="22"/>
        </w:rPr>
        <w:t xml:space="preserve"> families </w:t>
      </w:r>
      <w:r w:rsidR="00AB6C3E" w:rsidRPr="13D05368">
        <w:rPr>
          <w:rFonts w:eastAsia="Arial"/>
          <w:sz w:val="22"/>
        </w:rPr>
        <w:t xml:space="preserve">who </w:t>
      </w:r>
      <w:r w:rsidR="00A81E51" w:rsidRPr="13D05368">
        <w:rPr>
          <w:rFonts w:eastAsia="Arial"/>
          <w:sz w:val="22"/>
        </w:rPr>
        <w:t>ar</w:t>
      </w:r>
      <w:r w:rsidR="00AB6C3E" w:rsidRPr="13D05368">
        <w:rPr>
          <w:rFonts w:eastAsia="Arial"/>
          <w:sz w:val="22"/>
        </w:rPr>
        <w:t>e engaged in the care of an allergist. Since th</w:t>
      </w:r>
      <w:r w:rsidR="003A687A" w:rsidRPr="13D05368">
        <w:rPr>
          <w:rFonts w:eastAsia="Arial"/>
          <w:sz w:val="22"/>
        </w:rPr>
        <w:t>e</w:t>
      </w:r>
      <w:r w:rsidR="00AB6C3E" w:rsidRPr="13D05368">
        <w:rPr>
          <w:rFonts w:eastAsia="Arial"/>
          <w:sz w:val="22"/>
        </w:rPr>
        <w:t xml:space="preserve"> time</w:t>
      </w:r>
      <w:r w:rsidR="003A687A" w:rsidRPr="13D05368">
        <w:rPr>
          <w:rFonts w:eastAsia="Arial"/>
          <w:sz w:val="22"/>
        </w:rPr>
        <w:t xml:space="preserve"> these data were collected (2011-12)</w:t>
      </w:r>
      <w:r w:rsidR="00AB6C3E" w:rsidRPr="13D05368">
        <w:rPr>
          <w:rFonts w:eastAsia="Arial"/>
          <w:sz w:val="22"/>
        </w:rPr>
        <w:t>, there have been significant changes to the landscape of healthcare and FA, such as the implementation of the Affordable Care Act, increased awareness of FA, and increasing food costs, that may have affected these estimates and changed how the economic burden of FA is distributed.</w:t>
      </w:r>
    </w:p>
    <w:p w14:paraId="42BA0B81" w14:textId="77777777" w:rsidR="00AB6C3E" w:rsidRDefault="00AB6C3E" w:rsidP="13D05368">
      <w:pPr>
        <w:rPr>
          <w:rFonts w:eastAsia="Arial"/>
          <w:sz w:val="22"/>
        </w:rPr>
      </w:pPr>
    </w:p>
    <w:p w14:paraId="68E30034" w14:textId="0FBDF73C" w:rsidR="00C20D8F" w:rsidRDefault="008F6EE7" w:rsidP="13D05368">
      <w:pPr>
        <w:rPr>
          <w:rFonts w:eastAsia="Arial"/>
          <w:sz w:val="22"/>
        </w:rPr>
      </w:pPr>
      <w:r w:rsidRPr="13D05368">
        <w:rPr>
          <w:rFonts w:eastAsia="Arial"/>
          <w:sz w:val="22"/>
        </w:rPr>
        <w:t>T</w:t>
      </w:r>
      <w:r w:rsidR="00533988" w:rsidRPr="13D05368">
        <w:rPr>
          <w:rFonts w:eastAsia="Arial"/>
          <w:sz w:val="22"/>
        </w:rPr>
        <w:t>he</w:t>
      </w:r>
      <w:r w:rsidR="00C2752A">
        <w:rPr>
          <w:rFonts w:eastAsia="Arial"/>
          <w:sz w:val="22"/>
        </w:rPr>
        <w:t xml:space="preserve"> relative</w:t>
      </w:r>
      <w:r w:rsidR="00533988" w:rsidRPr="13D05368">
        <w:rPr>
          <w:rFonts w:eastAsia="Arial"/>
          <w:sz w:val="22"/>
        </w:rPr>
        <w:t xml:space="preserve"> </w:t>
      </w:r>
      <w:r w:rsidR="00531FCC" w:rsidRPr="13D05368">
        <w:rPr>
          <w:rFonts w:eastAsia="Arial"/>
          <w:sz w:val="22"/>
        </w:rPr>
        <w:t xml:space="preserve">lack of </w:t>
      </w:r>
      <w:r w:rsidR="00760383" w:rsidRPr="13D05368">
        <w:rPr>
          <w:rFonts w:eastAsia="Arial"/>
          <w:sz w:val="22"/>
        </w:rPr>
        <w:t xml:space="preserve">data on socioeconomic differences in the </w:t>
      </w:r>
      <w:r w:rsidR="00530752" w:rsidRPr="13D05368">
        <w:rPr>
          <w:rFonts w:eastAsia="Arial"/>
          <w:sz w:val="22"/>
        </w:rPr>
        <w:t xml:space="preserve">economic burden of FA is </w:t>
      </w:r>
      <w:r w:rsidR="00885AEB" w:rsidRPr="13D05368">
        <w:rPr>
          <w:rFonts w:eastAsia="Arial"/>
          <w:sz w:val="22"/>
        </w:rPr>
        <w:t xml:space="preserve">significant given that </w:t>
      </w:r>
      <w:r w:rsidR="00796D85" w:rsidRPr="13D05368">
        <w:rPr>
          <w:rFonts w:eastAsia="Arial"/>
          <w:sz w:val="22"/>
        </w:rPr>
        <w:t>it is well established that racial and ethnic minorities</w:t>
      </w:r>
      <w:r w:rsidR="004945C7" w:rsidRPr="13D05368">
        <w:rPr>
          <w:rFonts w:eastAsia="Arial"/>
          <w:sz w:val="22"/>
        </w:rPr>
        <w:t xml:space="preserve"> bear </w:t>
      </w:r>
      <w:r w:rsidR="00BA0EA8">
        <w:rPr>
          <w:rFonts w:eastAsia="Arial"/>
          <w:sz w:val="22"/>
        </w:rPr>
        <w:t>a significant burden of morbidity of FA.</w:t>
      </w:r>
      <w:r w:rsidR="00DD099D" w:rsidRPr="13D05368">
        <w:rPr>
          <w:rFonts w:eastAsia="Arial"/>
          <w:sz w:val="22"/>
        </w:rPr>
        <w:t xml:space="preserve"> </w:t>
      </w:r>
      <w:r w:rsidR="0083195A" w:rsidRPr="13D05368">
        <w:rPr>
          <w:rFonts w:eastAsia="Arial"/>
          <w:sz w:val="22"/>
        </w:rPr>
        <w:t>R</w:t>
      </w:r>
      <w:r w:rsidR="00665220" w:rsidRPr="13D05368">
        <w:rPr>
          <w:rFonts w:eastAsia="Arial"/>
          <w:sz w:val="22"/>
        </w:rPr>
        <w:t>ecent literature demonstrating racial and ethnic differences in FA</w:t>
      </w:r>
      <w:r w:rsidR="00C13158" w:rsidRPr="13D05368">
        <w:rPr>
          <w:rFonts w:eastAsia="Arial"/>
          <w:sz w:val="22"/>
        </w:rPr>
        <w:t xml:space="preserve"> epidemiology</w:t>
      </w:r>
      <w:r w:rsidR="00665220" w:rsidRPr="13D05368">
        <w:rPr>
          <w:rFonts w:eastAsia="Arial"/>
          <w:sz w:val="22"/>
        </w:rPr>
        <w:t xml:space="preserve">, such as a higher </w:t>
      </w:r>
      <w:r w:rsidR="00D210F6" w:rsidRPr="13D05368">
        <w:rPr>
          <w:rFonts w:eastAsia="Arial"/>
          <w:sz w:val="22"/>
        </w:rPr>
        <w:t>prevalence</w:t>
      </w:r>
      <w:r w:rsidR="00665220" w:rsidRPr="13D05368">
        <w:rPr>
          <w:rFonts w:eastAsia="Arial"/>
          <w:sz w:val="22"/>
        </w:rPr>
        <w:t xml:space="preserve"> of FA among Asian, Hispanic, and non-Hispanic Black (NHB) </w:t>
      </w:r>
      <w:r w:rsidR="009A0BA9" w:rsidRPr="13D05368">
        <w:rPr>
          <w:rFonts w:eastAsia="Arial"/>
          <w:sz w:val="22"/>
        </w:rPr>
        <w:t xml:space="preserve">and a higher prevalence of </w:t>
      </w:r>
      <w:r w:rsidR="00E204A6" w:rsidRPr="13D05368">
        <w:rPr>
          <w:rFonts w:eastAsia="Arial"/>
          <w:sz w:val="22"/>
        </w:rPr>
        <w:t>multi</w:t>
      </w:r>
      <w:r w:rsidR="009A0BA9" w:rsidRPr="13D05368">
        <w:rPr>
          <w:rFonts w:eastAsia="Arial"/>
          <w:sz w:val="22"/>
        </w:rPr>
        <w:t xml:space="preserve">-FA among NHB </w:t>
      </w:r>
      <w:r w:rsidR="00665220" w:rsidRPr="13D05368">
        <w:rPr>
          <w:rFonts w:eastAsia="Arial"/>
          <w:sz w:val="22"/>
        </w:rPr>
        <w:t>individuals compared to non-Hispanic White (NHW) individuals in the U.S</w:t>
      </w:r>
      <w:r w:rsidR="003043F5" w:rsidRPr="13D05368">
        <w:rPr>
          <w:rFonts w:eastAsia="Arial"/>
          <w:sz w:val="22"/>
        </w:rPr>
        <w:t xml:space="preserve">, </w:t>
      </w:r>
      <w:r w:rsidR="00FB657D" w:rsidRPr="13D05368">
        <w:rPr>
          <w:rFonts w:eastAsia="Arial"/>
          <w:sz w:val="22"/>
        </w:rPr>
        <w:t>is well established</w:t>
      </w:r>
      <w:r w:rsidR="00665220" w:rsidRPr="13D05368">
        <w:rPr>
          <w:rFonts w:eastAsia="Arial"/>
          <w:sz w:val="22"/>
        </w:rPr>
        <w:t>.</w:t>
      </w:r>
      <w:r w:rsidR="00467CFD">
        <w:fldChar w:fldCharType="begin"/>
      </w:r>
      <w:r w:rsidR="00207ADC">
        <w:instrText xml:space="preserve"> ADDIN ZOTERO_ITEM CSL_CITATION {"citationID":"5MprTfUl","properties":{"formattedCitation":"\\super 3\\nosupersub{}","plainCitation":"3","noteIndex":0},"citationItems":[{"id":1624,"uris":["http://zotero.org/users/4977456/items/LX8CF4F2"],"itemData":{"id":1624,"type":"article-journal","abstract":"IMPORTANCE: Food allergies affect approximately 8% of children and 11% of adults in the US. Racial differences in food allergy outcomes have previously been explored among Black and White children, but little is known about the distribution of food allergies across other racial, ethnic, and socioeconomic subpopulations.\nOBJECTIVE: To estimate the national distribution of food allergies across racial, ethnic, and socioeconomic groups in the US.\nDESIGN, SETTING, AND PARTICIPANTS: In this cross-sectional survey study, conducted from October 9, 2015, to September 18, 2016, a population-based survey was administered online and via telephone. A US nationally representative sample was surveyed. Participants were recruited using both probability- and nonprobability-based survey panels. Statistical analysis was performed from September 1, 2022, through April 10, 2023.\nEXPOSURES: Demographic and food allergy-related participant characteristics.\nMAIN OUTCOMES AND MEASURES: Stringent symptom criteria were developed to distinguish respondents with a \"convincing\" food allergy from those with similar symptom presentations (ie, food intolerance or oral allergy syndrome), with or without physician diagnosis. The prevalence of food allergies and their clinical outcomes, such as emergency department visits, epinephrine autoinjector use, and severe reactions, were measured across race (Asian, Black, White, and &gt;1 race or other race), ethnicity (Hispanic and non-Hispanic), and household income. Complex survey-weighted proportions were used to estimate prevalence rates.\nRESULTS: The survey was administered to 51 819 households comprising 78 851 individuals (40 443 adults and parents of 38 408 children; 51.1% women [95% CI, 50.5%-51.6%]; mean [SD] age of adults, 46.8 [24.0] years; mean [SD] age of children, 8.7 [5.2] years): 3.7% Asian individuals, 12.0% Black individuals, 17.4% Hispanic individuals, 62.2% White individuals, and 4.7% individuals of more than 1 race or other race. Non-Hispanic White individuals across all ages had the lowest rate of self-reported or parent-reported food allergies (9.5% [95% CI, 9.2%-9.9%]) compared with Asian (10.5% [95% CI, 9.1%-12.0%]), Hispanic (10.6% [95% CI, 9.7%-11.5%]), and non-Hispanic Black (10.6% [95% CI, 9.8%-11.5%]) individuals. The prevalence of common food allergens varied by race and ethnicity. Non-Hispanic Black individuals were most likely to report allergies to multiple foods (50.6% [95% CI, 46.1%-55.1%]). Asian and non-Hispanic White individuals had the lowest rates of severe food allergy reactions (Asian individuals, 46.9% [95% CI, 39.8%-54.1%] and non-Hispanic White individuals, 47.8% [95% CI, 45.9%-49.7%]) compared with individuals of other races and ethnicities. The prevalence of self-reported or parent-reported food allergies was lowest within households earning more than $150 000 per year (8.3% [95% CI, 7.4%-9.2%]).\nCONCLUSIONS AND RELEVANCE: This survey study of a US nationally representative sample suggests that the prevalence of food allergies was highest among Asian, Hispanic, and non-Hispanic Black individuals compared with non-Hispanic White individuals in the US. Further assessment of socioeconomic factors and corresponding environmental exposures may better explain the causes of food allergy and inform targeted management and interventions to reduce the burden of food allergies and disparities in outcomes.","container-title":"JAMA network open","DOI":"10.1001/jamanetworkopen.2023.18162","ISSN":"2574-3805","issue":"6","journalAbbreviation":"JAMA Netw Open","language":"eng","note":"PMID: 37314805\nPMCID: PMC10267771","page":"e2318162","source":"PubMed","title":"Racial, Ethnic, and Socioeconomic Differences in Food Allergies in the US","volume":"6","author":[{"family":"Jiang","given":"Jialing"},{"family":"Warren","given":"Christopher M."},{"family":"Brewer","given":"Audrey"},{"family":"Soffer","given":"Gary"},{"family":"Gupta","given":"Ruchi S."}],"issued":{"date-parts":[["2023",6,1]]}}}],"schema":"https://github.com/citation-style-language/schema/raw/master/csl-citation.json"} </w:instrText>
      </w:r>
      <w:r w:rsidR="00467CFD">
        <w:fldChar w:fldCharType="separate"/>
      </w:r>
      <w:r w:rsidR="00207ADC" w:rsidRPr="00207ADC">
        <w:rPr>
          <w:kern w:val="0"/>
          <w:sz w:val="22"/>
          <w:vertAlign w:val="superscript"/>
        </w:rPr>
        <w:t>3</w:t>
      </w:r>
      <w:r w:rsidR="00467CFD">
        <w:fldChar w:fldCharType="end"/>
      </w:r>
      <w:r w:rsidR="0068367A" w:rsidRPr="13D05368">
        <w:rPr>
          <w:rFonts w:eastAsia="Arial"/>
          <w:sz w:val="22"/>
        </w:rPr>
        <w:t xml:space="preserve"> </w:t>
      </w:r>
      <w:r w:rsidR="00002B19" w:rsidRPr="13D05368">
        <w:rPr>
          <w:rFonts w:eastAsia="Arial"/>
          <w:sz w:val="22"/>
        </w:rPr>
        <w:t xml:space="preserve">In addition, </w:t>
      </w:r>
      <w:r w:rsidR="0068367A" w:rsidRPr="13D05368">
        <w:rPr>
          <w:rFonts w:eastAsia="Arial"/>
          <w:sz w:val="22"/>
        </w:rPr>
        <w:t xml:space="preserve"> </w:t>
      </w:r>
      <w:r w:rsidR="00EE5DAE" w:rsidRPr="13D05368">
        <w:rPr>
          <w:rFonts w:eastAsia="Arial"/>
          <w:sz w:val="22"/>
        </w:rPr>
        <w:t xml:space="preserve">NHB and Hispanic children have been </w:t>
      </w:r>
      <w:r w:rsidR="0068031B" w:rsidRPr="13D05368">
        <w:rPr>
          <w:rFonts w:eastAsia="Arial"/>
          <w:sz w:val="22"/>
        </w:rPr>
        <w:t xml:space="preserve">found to have </w:t>
      </w:r>
      <w:r w:rsidR="0068367A" w:rsidRPr="13D05368">
        <w:rPr>
          <w:rFonts w:eastAsia="Arial"/>
          <w:sz w:val="22"/>
        </w:rPr>
        <w:t>more severe FA reactions, less lifetime epinephrine auto</w:t>
      </w:r>
      <w:r w:rsidR="00727587" w:rsidRPr="13D05368">
        <w:rPr>
          <w:rFonts w:eastAsia="Arial"/>
          <w:sz w:val="22"/>
        </w:rPr>
        <w:t>-</w:t>
      </w:r>
      <w:r w:rsidR="0068367A" w:rsidRPr="13D05368">
        <w:rPr>
          <w:rFonts w:eastAsia="Arial"/>
          <w:sz w:val="22"/>
        </w:rPr>
        <w:t xml:space="preserve">injector (EAI) use, and higher </w:t>
      </w:r>
      <w:r w:rsidR="003E7EF3" w:rsidRPr="13D05368">
        <w:rPr>
          <w:rFonts w:eastAsia="Arial"/>
          <w:sz w:val="22"/>
        </w:rPr>
        <w:t>emergency department (ED)</w:t>
      </w:r>
      <w:r w:rsidR="0068367A" w:rsidRPr="13D05368">
        <w:rPr>
          <w:rFonts w:eastAsia="Arial"/>
          <w:sz w:val="22"/>
        </w:rPr>
        <w:t xml:space="preserve"> usage compared to NHW participants.</w:t>
      </w:r>
      <w:r w:rsidR="00C13158">
        <w:fldChar w:fldCharType="begin"/>
      </w:r>
      <w:r w:rsidR="00207ADC">
        <w:instrText xml:space="preserve"> ADDIN ZOTERO_ITEM CSL_CITATION {"citationID":"4fm1Hg1S","properties":{"formattedCitation":"\\super 4\\nosupersub{}","plainCitation":"4","noteIndex":0},"citationItems":[{"id":1751,"uris":["http://zotero.org/users/4977456/items/XD4B3XX4"],"itemData":{"id":1751,"type":"article-journal","abstract":"BACKGROUND: Definitive treatment for food allergy reactions including anaphylaxis varies widely by reaction severity and socioeconomic status but little data exists to characterize the relationship between severity, management, and race and ethnicity.\nOBJECTIVE: We aimed to analyze the differences in reaction severity, epinephrine use, and emergency room utilization by race and ethnicity in a large, diverse, food-allergic cohort.\nMETHODS: We analyzed intake data from participants in the FORWARD cohort on the history of food allergy reactions, severity of the reactions, and management associated with each reaction. We used descriptive statistics as well as mixed-effects logistic and poisson models to describe the differences in reaction severity, ER visits, and total lifetime epinephrine usage by race and ethnicity.\nRESULTS: 784 children were included in the analysis: 425 (54.2%) were non-Hispanic White (NHW), 282 (36.0%) were non-Hispanic Black (NHB), and 77 (9.8%) were Hispanic or Latino (H/L). NHB children had increased odds of more severe reactions (OR: 1.7, 95% CI: 1.2, 2.3) and higher odds of going to the ER (OR: 2.8, 95% CI: 1.4, 5.4)). Both NHB (IRR: 0.4, 95% CI: 0.3, 0.5) and H/L (IRR: 0.3, 95% CI: 0.2, 0.5) children had lower rates of total lifetime epinephrine use.\nCONCLUSION: There are significant disparities in the severity and treatment of food allergy reactions by race and ethnicity, resulting in increased ER utilization and decreased total lifetime epinephrine. Equipping parents with resources and tools on management of food allergy reactions may result in decreased disparity in access to definitive care.","container-title":"The Journal of Allergy and Clinical Immunology. In Practice","DOI":"10.1016/j.jaip.2023.12.052","ISSN":"2213-2201","journalAbbreviation":"J Allergy Clin Immunol Pract","language":"eng","note":"PMID: 38190887","page":"S2213-2198(24)00016-3","source":"PubMed","title":"Food Allergy Reaction Severity and Management in a Diverse Population","author":[{"family":"Kay-Green","given":"Samantha"},{"family":"Thivalapill","given":"Neil"},{"family":"Bilaver","given":"Lucy"},{"family":"Jiang","given":"Jialing"},{"family":"Gupta","given":"Ruchi"}],"issued":{"date-parts":[["2024",1,6]]}}}],"schema":"https://github.com/citation-style-language/schema/raw/master/csl-citation.json"} </w:instrText>
      </w:r>
      <w:r w:rsidR="00C13158">
        <w:fldChar w:fldCharType="separate"/>
      </w:r>
      <w:r w:rsidR="00207ADC" w:rsidRPr="00207ADC">
        <w:rPr>
          <w:kern w:val="0"/>
          <w:sz w:val="22"/>
          <w:vertAlign w:val="superscript"/>
        </w:rPr>
        <w:t>4</w:t>
      </w:r>
      <w:r w:rsidR="00C13158">
        <w:fldChar w:fldCharType="end"/>
      </w:r>
      <w:r w:rsidR="00C13158" w:rsidRPr="13D05368">
        <w:rPr>
          <w:rFonts w:eastAsia="Arial"/>
          <w:sz w:val="22"/>
        </w:rPr>
        <w:t xml:space="preserve"> Given these documented differences in FA prevalence, severity, and healthcare utilization, it is crucial to investigate how the economic burden of FA is experienced across race, ethnicity, and socioeconomic status.</w:t>
      </w:r>
    </w:p>
    <w:p w14:paraId="515DD98A" w14:textId="3906BEAC" w:rsidR="00B8560B" w:rsidRDefault="00B8560B" w:rsidP="13D05368">
      <w:pPr>
        <w:rPr>
          <w:rFonts w:eastAsia="Arial"/>
          <w:sz w:val="22"/>
        </w:rPr>
      </w:pPr>
    </w:p>
    <w:p w14:paraId="7B0FA3AE" w14:textId="6A5CC3B3" w:rsidR="00B1200A" w:rsidRDefault="4BA10226" w:rsidP="13D05368">
      <w:pPr>
        <w:rPr>
          <w:rFonts w:eastAsia="Arial"/>
          <w:sz w:val="22"/>
        </w:rPr>
      </w:pPr>
      <w:r w:rsidRPr="13D05368">
        <w:rPr>
          <w:rFonts w:eastAsia="Arial"/>
          <w:sz w:val="22"/>
        </w:rPr>
        <w:t xml:space="preserve">In this study, we analyze the economic consequences of childhood FA in a prospective, longitudinal cohort, that </w:t>
      </w:r>
      <w:r w:rsidR="70F354AB" w:rsidRPr="13D05368">
        <w:rPr>
          <w:rFonts w:eastAsia="Arial"/>
          <w:sz w:val="22"/>
        </w:rPr>
        <w:t xml:space="preserve">by design, oversamples </w:t>
      </w:r>
      <w:r w:rsidR="1C8380F1" w:rsidRPr="13D05368">
        <w:rPr>
          <w:rFonts w:eastAsia="Arial"/>
          <w:sz w:val="22"/>
        </w:rPr>
        <w:t xml:space="preserve">NHB and </w:t>
      </w:r>
      <w:r w:rsidR="00375094" w:rsidRPr="13D05368">
        <w:rPr>
          <w:rFonts w:eastAsia="Arial"/>
          <w:sz w:val="22"/>
        </w:rPr>
        <w:t>Hispanic</w:t>
      </w:r>
      <w:r w:rsidR="0043691F" w:rsidRPr="13D05368">
        <w:rPr>
          <w:rFonts w:eastAsia="Arial"/>
          <w:sz w:val="22"/>
        </w:rPr>
        <w:t>/Latino (</w:t>
      </w:r>
      <w:r w:rsidR="1C8380F1" w:rsidRPr="13D05368">
        <w:rPr>
          <w:rFonts w:eastAsia="Arial"/>
          <w:sz w:val="22"/>
        </w:rPr>
        <w:t>H/L</w:t>
      </w:r>
      <w:r w:rsidR="0043691F" w:rsidRPr="13D05368">
        <w:rPr>
          <w:rFonts w:eastAsia="Arial"/>
          <w:sz w:val="22"/>
        </w:rPr>
        <w:t>)</w:t>
      </w:r>
      <w:r w:rsidR="1C8380F1" w:rsidRPr="13D05368">
        <w:rPr>
          <w:rFonts w:eastAsia="Arial"/>
          <w:sz w:val="22"/>
        </w:rPr>
        <w:t xml:space="preserve"> families</w:t>
      </w:r>
      <w:r w:rsidR="0C9BC581" w:rsidRPr="13D05368">
        <w:rPr>
          <w:rFonts w:eastAsia="Arial"/>
          <w:sz w:val="22"/>
        </w:rPr>
        <w:t xml:space="preserve"> relative to the general population </w:t>
      </w:r>
      <w:r w:rsidR="00441155" w:rsidRPr="13D05368">
        <w:rPr>
          <w:rFonts w:eastAsia="Arial"/>
          <w:sz w:val="22"/>
        </w:rPr>
        <w:t>to</w:t>
      </w:r>
      <w:r w:rsidR="70F354AB" w:rsidRPr="13D05368">
        <w:rPr>
          <w:rFonts w:eastAsia="Arial"/>
          <w:sz w:val="22"/>
        </w:rPr>
        <w:t xml:space="preserve"> further characterize the FA experience in these</w:t>
      </w:r>
      <w:r w:rsidR="1C8380F1" w:rsidRPr="13D05368">
        <w:rPr>
          <w:rFonts w:eastAsia="Arial"/>
          <w:sz w:val="22"/>
        </w:rPr>
        <w:t xml:space="preserve"> historically underrepresented</w:t>
      </w:r>
      <w:r w:rsidR="70F354AB" w:rsidRPr="13D05368">
        <w:rPr>
          <w:rFonts w:eastAsia="Arial"/>
          <w:sz w:val="22"/>
        </w:rPr>
        <w:t xml:space="preserve"> populations.</w:t>
      </w:r>
      <w:r w:rsidR="51BFA863" w:rsidRPr="13D05368">
        <w:rPr>
          <w:rFonts w:eastAsia="Arial"/>
          <w:sz w:val="22"/>
        </w:rPr>
        <w:t xml:space="preserve"> We </w:t>
      </w:r>
      <w:r w:rsidR="5266AEA4" w:rsidRPr="13D05368">
        <w:rPr>
          <w:rFonts w:eastAsia="Arial"/>
          <w:sz w:val="22"/>
        </w:rPr>
        <w:t xml:space="preserve">estimate </w:t>
      </w:r>
      <w:r w:rsidR="51BFA863" w:rsidRPr="13D05368">
        <w:rPr>
          <w:rFonts w:eastAsia="Arial"/>
          <w:sz w:val="22"/>
        </w:rPr>
        <w:t xml:space="preserve">direct </w:t>
      </w:r>
      <w:r w:rsidR="00441155" w:rsidRPr="13D05368">
        <w:rPr>
          <w:rFonts w:eastAsia="Arial"/>
          <w:sz w:val="22"/>
        </w:rPr>
        <w:t xml:space="preserve">caregiver-reported </w:t>
      </w:r>
      <w:r w:rsidR="51BFA863" w:rsidRPr="13D05368">
        <w:rPr>
          <w:rFonts w:eastAsia="Arial"/>
          <w:sz w:val="22"/>
        </w:rPr>
        <w:t>OOP costs associated with diet and medication,</w:t>
      </w:r>
      <w:r w:rsidR="4AD77BE5" w:rsidRPr="13D05368">
        <w:rPr>
          <w:rFonts w:eastAsia="Arial"/>
          <w:sz w:val="22"/>
        </w:rPr>
        <w:t xml:space="preserve"> indirect </w:t>
      </w:r>
      <w:r w:rsidR="285961F4" w:rsidRPr="13D05368">
        <w:rPr>
          <w:rFonts w:eastAsia="Arial"/>
          <w:sz w:val="22"/>
        </w:rPr>
        <w:t>costs, food security,</w:t>
      </w:r>
      <w:r w:rsidR="4AD77BE5" w:rsidRPr="13D05368">
        <w:rPr>
          <w:rFonts w:eastAsia="Arial"/>
          <w:sz w:val="22"/>
        </w:rPr>
        <w:t xml:space="preserve"> and changes to </w:t>
      </w:r>
      <w:r w:rsidR="000F5E73" w:rsidRPr="13D05368">
        <w:rPr>
          <w:rFonts w:eastAsia="Arial"/>
          <w:sz w:val="22"/>
        </w:rPr>
        <w:t xml:space="preserve">the caregiver’s </w:t>
      </w:r>
      <w:r w:rsidR="4AD77BE5" w:rsidRPr="13D05368">
        <w:rPr>
          <w:rFonts w:eastAsia="Arial"/>
          <w:sz w:val="22"/>
        </w:rPr>
        <w:t>work and their personal lif</w:t>
      </w:r>
      <w:r w:rsidR="285961F4" w:rsidRPr="13D05368">
        <w:rPr>
          <w:rFonts w:eastAsia="Arial"/>
          <w:sz w:val="22"/>
        </w:rPr>
        <w:t xml:space="preserve">e by </w:t>
      </w:r>
      <w:r w:rsidR="003F2115" w:rsidRPr="13D05368">
        <w:rPr>
          <w:rFonts w:eastAsia="Arial"/>
          <w:sz w:val="22"/>
        </w:rPr>
        <w:t xml:space="preserve">socioeconomic </w:t>
      </w:r>
      <w:r w:rsidR="00E03BCD" w:rsidRPr="13D05368">
        <w:rPr>
          <w:rFonts w:eastAsia="Arial"/>
          <w:sz w:val="22"/>
        </w:rPr>
        <w:t>characteristics</w:t>
      </w:r>
      <w:r w:rsidR="00720E6F" w:rsidRPr="13D05368">
        <w:rPr>
          <w:rFonts w:eastAsia="Arial"/>
          <w:sz w:val="22"/>
        </w:rPr>
        <w:t xml:space="preserve">. </w:t>
      </w:r>
      <w:r w:rsidR="7A05C7F0" w:rsidRPr="13D05368">
        <w:rPr>
          <w:rFonts w:eastAsia="Arial"/>
          <w:sz w:val="22"/>
        </w:rPr>
        <w:t xml:space="preserve"> </w:t>
      </w:r>
    </w:p>
    <w:p w14:paraId="0918605D" w14:textId="77777777" w:rsidR="00B1200A" w:rsidRDefault="00B1200A" w:rsidP="13D05368">
      <w:pPr>
        <w:rPr>
          <w:rFonts w:eastAsia="Arial"/>
          <w:sz w:val="22"/>
        </w:rPr>
      </w:pPr>
    </w:p>
    <w:p w14:paraId="2CD18CCC" w14:textId="31A16B5E" w:rsidR="13D05368" w:rsidRDefault="13D05368" w:rsidP="13D05368">
      <w:pPr>
        <w:rPr>
          <w:rFonts w:eastAsia="Arial"/>
          <w:sz w:val="22"/>
        </w:rPr>
      </w:pPr>
    </w:p>
    <w:p w14:paraId="221FA11E" w14:textId="6537808F" w:rsidR="00020126" w:rsidRDefault="00020126" w:rsidP="13D05368">
      <w:pPr>
        <w:rPr>
          <w:rFonts w:eastAsia="Arial"/>
          <w:sz w:val="22"/>
        </w:rPr>
      </w:pPr>
      <w:r w:rsidRPr="13D05368">
        <w:rPr>
          <w:rFonts w:eastAsia="Arial"/>
          <w:b/>
          <w:bCs/>
          <w:sz w:val="22"/>
        </w:rPr>
        <w:t>Methods</w:t>
      </w:r>
      <w:r w:rsidRPr="13D05368">
        <w:rPr>
          <w:rFonts w:eastAsia="Arial"/>
          <w:sz w:val="22"/>
        </w:rPr>
        <w:t>:</w:t>
      </w:r>
    </w:p>
    <w:p w14:paraId="01B7A57A" w14:textId="77777777" w:rsidR="00020126" w:rsidRDefault="00020126" w:rsidP="13D05368">
      <w:pPr>
        <w:rPr>
          <w:rFonts w:eastAsia="Arial"/>
          <w:sz w:val="22"/>
        </w:rPr>
      </w:pPr>
    </w:p>
    <w:p w14:paraId="37B70F87" w14:textId="6693251A" w:rsidR="009956A7" w:rsidRPr="007A3B60" w:rsidRDefault="0D905F7F" w:rsidP="13D05368">
      <w:pPr>
        <w:rPr>
          <w:rFonts w:eastAsia="Arial"/>
          <w:sz w:val="22"/>
        </w:rPr>
      </w:pPr>
      <w:r w:rsidRPr="13D05368">
        <w:rPr>
          <w:rFonts w:eastAsia="Arial"/>
          <w:sz w:val="22"/>
        </w:rPr>
        <w:t xml:space="preserve">We leveraged data from the </w:t>
      </w:r>
      <w:r w:rsidR="61FCEBBC" w:rsidRPr="13D05368">
        <w:rPr>
          <w:rFonts w:eastAsia="Arial"/>
          <w:sz w:val="22"/>
        </w:rPr>
        <w:t xml:space="preserve">NIAID-supported </w:t>
      </w:r>
      <w:r w:rsidRPr="13D05368">
        <w:rPr>
          <w:rFonts w:eastAsia="Arial"/>
          <w:sz w:val="22"/>
        </w:rPr>
        <w:t>FORWARD cohort, a</w:t>
      </w:r>
      <w:r w:rsidR="00F76739" w:rsidRPr="13D05368">
        <w:rPr>
          <w:rFonts w:eastAsia="Arial"/>
          <w:sz w:val="22"/>
        </w:rPr>
        <w:t>n</w:t>
      </w:r>
      <w:r w:rsidRPr="13D05368">
        <w:rPr>
          <w:rFonts w:eastAsia="Arial"/>
          <w:sz w:val="22"/>
        </w:rPr>
        <w:t xml:space="preserve"> observational cohort study enrolling children younger than 12 years old with </w:t>
      </w:r>
      <w:r w:rsidR="00FD5A16" w:rsidRPr="13D05368">
        <w:rPr>
          <w:rFonts w:eastAsia="Arial"/>
          <w:sz w:val="22"/>
        </w:rPr>
        <w:t>allergist</w:t>
      </w:r>
      <w:r w:rsidRPr="13D05368">
        <w:rPr>
          <w:rFonts w:eastAsia="Arial"/>
          <w:sz w:val="22"/>
        </w:rPr>
        <w:t>-</w:t>
      </w:r>
      <w:r w:rsidR="7CCF6692" w:rsidRPr="13D05368">
        <w:rPr>
          <w:rFonts w:eastAsia="Arial"/>
          <w:sz w:val="22"/>
        </w:rPr>
        <w:t>confirm</w:t>
      </w:r>
      <w:r w:rsidRPr="13D05368">
        <w:rPr>
          <w:rFonts w:eastAsia="Arial"/>
          <w:sz w:val="22"/>
        </w:rPr>
        <w:t>ed FA.</w:t>
      </w:r>
      <w:r w:rsidR="67ACCA38" w:rsidRPr="13D05368">
        <w:rPr>
          <w:rFonts w:eastAsia="Arial"/>
          <w:sz w:val="22"/>
        </w:rPr>
        <w:t xml:space="preserve"> The design </w:t>
      </w:r>
      <w:r w:rsidR="7F84A9E3" w:rsidRPr="13D05368">
        <w:rPr>
          <w:rFonts w:eastAsia="Arial"/>
          <w:sz w:val="22"/>
        </w:rPr>
        <w:t>and methodology of the FORWARD cohort has been previously described.</w:t>
      </w:r>
      <w:r w:rsidR="00CE6373">
        <w:fldChar w:fldCharType="begin"/>
      </w:r>
      <w:r w:rsidR="00207ADC">
        <w:instrText xml:space="preserve"> ADDIN ZOTERO_ITEM CSL_CITATION {"citationID":"Y6cgNgQ1","properties":{"formattedCitation":"\\super 5\\nosupersub{}","plainCitation":"5","noteIndex":0},"citationItems":[{"id":1641,"uris":["http://zotero.org/users/4977456/items/5TU7PPWI"],"itemData":{"id":1641,"type":"article-journal","abstract":"Background:\nDespite major differences in health profiles and rates of health care utilization between African American (AA) and White children with food allergy (FA), the detailed phenotypic variables that can potentially impact these outcomes have not been thoroughly studied.\n\nObjective:\nWe aimed to characterize phenotypic differences such as allergies to different foods and allergic comorbidities between AA and White children with FA enrolled in the Food allergy management &amp; Outcomes Related to White and African American Racial Differences (FORWARD) study.\n\nMethods:\nOur active, prospective, multi-center cohort study is currently enrolling AA and White children aged 0–12 years diagnosed with FA and followed by allergy/immunology clinics at four urban tertiary centers in the US. To evaluate associations between race and phenotypic variables, we used multivariable logistic regression, adjusting for important demographic and cofounding factors, as well as potential household clustering.\n\nResults:\nAs of May 2020, there were 239 AAs and 425 Whites with complete intake information enrolled in the study. In comparison to Whites, we found that AAs had significantly higher adjusted odds of allergy to finfish (OR: 2.54, p&lt;0.01) and shellfish (OR: 3.10, p&lt; 0.001). AAs also had higher adjusted odds of asthma than Whites (asthma prevalence of 60.5% in AAs and 27.2% in Whites, OR: 2.70, p&lt;0.001). In addition, shellfish allergy was associated with asthma, after controlling for race.\n\nConclusion:\nAmong a diverse cohort of children with physician-diagnosed FA, we observed that AA children had higher odds of allergy to shellfish and finfish, and higher rates of asthma. Interestingly, having asthma was independently associated with allergy to shellfish, after controlling for race.","container-title":"The journal of allergy and clinical immunology. In practice","DOI":"10.1016/j.jaip.2020.12.026","ISSN":"2213-2198","issue":"7","journalAbbreviation":"J Allergy Clin Immunol Pract","note":"PMID: 33359586\nPMCID: PMC8277659","page":"2867-2873.e1","source":"PubMed Central","title":"African American children are more likely to be allergic to shellfish and finfish: findings from FORWARD, a multisite cohort study","title-short":"African American children are more likely to be allergic to shellfish and finfish","volume":"9","author":[{"family":"Mahdavinia","given":"Mahboobeh"},{"family":"Tobin","given":"Mary C."},{"family":"Fierstein","given":"Jamie L"},{"family":"Andy-Nweye","given":"Aame B"},{"family":"Bilaver","given":"Lucy A"},{"family":"Fox","given":"Susan"},{"family":"Pappalardo","given":"Andrea A."},{"family":"Jiang","given":"Jialing"},{"family":"Catlin","given":"Perry A."},{"family":"Chura","given":"Annika"},{"family":"Robinson","given":"Adam"},{"family":"Abdikarim","given":"Iman"},{"family":"Coleman","given":"Amaziah"},{"family":"Warren","given":"Christopher"},{"family":"Newmark","given":"Pamela J"},{"family":"Bozen","given":"Alexandria"},{"family":"Negris","given":"Olivia"},{"family":"Pongracic","given":"Jacqueline A"},{"family":"Sharma","given":"Hemant P."},{"family":"Assa’ad","given":"Amal H."},{"family":"Gupta","given":"Ruchi S."}],"issued":{"date-parts":[["2021",7]]}}}],"schema":"https://github.com/citation-style-language/schema/raw/master/csl-citation.json"} </w:instrText>
      </w:r>
      <w:r w:rsidR="00CE6373">
        <w:fldChar w:fldCharType="separate"/>
      </w:r>
      <w:r w:rsidR="00207ADC" w:rsidRPr="00207ADC">
        <w:rPr>
          <w:kern w:val="0"/>
          <w:sz w:val="22"/>
          <w:vertAlign w:val="superscript"/>
        </w:rPr>
        <w:t>5</w:t>
      </w:r>
      <w:r w:rsidR="00CE6373">
        <w:fldChar w:fldCharType="end"/>
      </w:r>
      <w:r w:rsidRPr="13D05368">
        <w:rPr>
          <w:rFonts w:eastAsia="Arial"/>
          <w:sz w:val="22"/>
        </w:rPr>
        <w:t xml:space="preserve"> </w:t>
      </w:r>
      <w:r w:rsidR="007C1213" w:rsidRPr="13D05368">
        <w:rPr>
          <w:rFonts w:eastAsia="Arial"/>
          <w:sz w:val="22"/>
        </w:rPr>
        <w:t xml:space="preserve">Outcomes </w:t>
      </w:r>
      <w:r w:rsidR="00127436" w:rsidRPr="13D05368">
        <w:rPr>
          <w:rFonts w:eastAsia="Arial"/>
          <w:sz w:val="22"/>
        </w:rPr>
        <w:t xml:space="preserve">were </w:t>
      </w:r>
      <w:r w:rsidR="00BF0859" w:rsidRPr="13D05368">
        <w:rPr>
          <w:rFonts w:eastAsia="Arial"/>
          <w:sz w:val="22"/>
        </w:rPr>
        <w:t xml:space="preserve">based on survey responses </w:t>
      </w:r>
      <w:r w:rsidR="00127436" w:rsidRPr="13D05368">
        <w:rPr>
          <w:rFonts w:eastAsia="Arial"/>
          <w:sz w:val="22"/>
        </w:rPr>
        <w:t xml:space="preserve">about OOP </w:t>
      </w:r>
      <w:r w:rsidR="001E22F3" w:rsidRPr="13D05368">
        <w:rPr>
          <w:rFonts w:eastAsia="Arial"/>
          <w:sz w:val="22"/>
        </w:rPr>
        <w:t xml:space="preserve">costs, </w:t>
      </w:r>
      <w:r w:rsidR="00484A6A" w:rsidRPr="13D05368">
        <w:rPr>
          <w:rFonts w:eastAsia="Arial"/>
          <w:sz w:val="22"/>
        </w:rPr>
        <w:t xml:space="preserve">healthcare related needs and perceived impact. Specifically, caregivers were asked about </w:t>
      </w:r>
      <w:r w:rsidR="00BF0859" w:rsidRPr="13D05368">
        <w:rPr>
          <w:rFonts w:eastAsia="Arial"/>
          <w:sz w:val="22"/>
        </w:rPr>
        <w:t xml:space="preserve">the OOP costs of special diets, EAI, and antihistamines.  </w:t>
      </w:r>
      <w:r w:rsidR="00C37CE3">
        <w:rPr>
          <w:rFonts w:eastAsia="Arial"/>
          <w:sz w:val="22"/>
        </w:rPr>
        <w:t>For each co</w:t>
      </w:r>
      <w:r w:rsidR="002C4769">
        <w:rPr>
          <w:rFonts w:eastAsia="Arial"/>
          <w:sz w:val="22"/>
        </w:rPr>
        <w:t>st type, r</w:t>
      </w:r>
      <w:r w:rsidR="00521C90" w:rsidRPr="13D05368">
        <w:rPr>
          <w:rFonts w:eastAsia="Arial"/>
          <w:sz w:val="22"/>
        </w:rPr>
        <w:t xml:space="preserve">esponders specified an amount and frequency, which were then transformed </w:t>
      </w:r>
      <w:r w:rsidR="002C4769">
        <w:rPr>
          <w:rFonts w:eastAsia="Arial"/>
          <w:sz w:val="22"/>
        </w:rPr>
        <w:t>into</w:t>
      </w:r>
      <w:r w:rsidR="00521C90" w:rsidRPr="13D05368">
        <w:rPr>
          <w:rFonts w:eastAsia="Arial"/>
          <w:sz w:val="22"/>
        </w:rPr>
        <w:t xml:space="preserve"> annualized cost estimates</w:t>
      </w:r>
      <w:r w:rsidR="00030148" w:rsidRPr="13D05368">
        <w:rPr>
          <w:rFonts w:eastAsia="Arial"/>
          <w:sz w:val="22"/>
        </w:rPr>
        <w:t>. In addition</w:t>
      </w:r>
      <w:r w:rsidR="0051565C" w:rsidRPr="13D05368">
        <w:rPr>
          <w:rFonts w:eastAsia="Arial"/>
          <w:sz w:val="22"/>
        </w:rPr>
        <w:t xml:space="preserve">, caregivers were surveyed about the perceived impact of their child’s FA on other costs indirectly related to FA, such as those resulting from FA-related changes in the caregiver’s lifestyle and employment. </w:t>
      </w:r>
      <w:r w:rsidR="007121AB" w:rsidRPr="13D05368">
        <w:rPr>
          <w:rFonts w:eastAsia="Arial"/>
          <w:sz w:val="22"/>
        </w:rPr>
        <w:t xml:space="preserve">Lifestyle changes included needing special food, spending more time shopping or preparing food, spending more time preparing for school (such developing a 504 plan), moving to another residence, having social life be inhibited, restricting participation </w:t>
      </w:r>
      <w:r w:rsidR="0068480E">
        <w:rPr>
          <w:rFonts w:eastAsia="Arial"/>
          <w:sz w:val="22"/>
        </w:rPr>
        <w:t xml:space="preserve">in </w:t>
      </w:r>
      <w:r w:rsidR="007121AB" w:rsidRPr="13D05368">
        <w:rPr>
          <w:rFonts w:eastAsia="Arial"/>
          <w:sz w:val="22"/>
        </w:rPr>
        <w:t xml:space="preserve">sports or </w:t>
      </w:r>
      <w:r w:rsidR="008C57EB">
        <w:rPr>
          <w:rFonts w:eastAsia="Arial"/>
          <w:sz w:val="22"/>
        </w:rPr>
        <w:t xml:space="preserve">specific </w:t>
      </w:r>
      <w:r w:rsidR="007121AB" w:rsidRPr="13D05368">
        <w:rPr>
          <w:rFonts w:eastAsia="Arial"/>
          <w:sz w:val="22"/>
        </w:rPr>
        <w:t xml:space="preserve">hobbies, delaying having children, having a relationship with a partner or other family member become more difficult, and restricting vacation choices. Work-related changes including not being able to work outside the home, needing to change or reduce job hours, giving up a job, getting dismissed from a job, changing jobs, needing additional or a change in childcare, and having to change the child’s school. </w:t>
      </w:r>
      <w:r w:rsidR="009956A7" w:rsidRPr="13D05368">
        <w:rPr>
          <w:rFonts w:eastAsia="Arial"/>
          <w:sz w:val="22"/>
        </w:rPr>
        <w:t xml:space="preserve">Finally, </w:t>
      </w:r>
      <w:r w:rsidR="008D2485" w:rsidRPr="13D05368">
        <w:rPr>
          <w:rFonts w:eastAsia="Arial"/>
          <w:sz w:val="22"/>
        </w:rPr>
        <w:t xml:space="preserve">other outcomes included </w:t>
      </w:r>
      <w:r w:rsidR="009956A7" w:rsidRPr="13D05368">
        <w:rPr>
          <w:rFonts w:eastAsia="Arial"/>
          <w:sz w:val="22"/>
        </w:rPr>
        <w:t>worry</w:t>
      </w:r>
      <w:r w:rsidR="008D2485" w:rsidRPr="13D05368">
        <w:rPr>
          <w:rFonts w:eastAsia="Arial"/>
          <w:sz w:val="22"/>
        </w:rPr>
        <w:t>ing</w:t>
      </w:r>
      <w:r w:rsidR="009956A7" w:rsidRPr="13D05368">
        <w:rPr>
          <w:rFonts w:eastAsia="Arial"/>
          <w:sz w:val="22"/>
        </w:rPr>
        <w:t xml:space="preserve"> about running out of food and having purchased food not last. </w:t>
      </w:r>
    </w:p>
    <w:p w14:paraId="752E7370" w14:textId="77777777" w:rsidR="006A1212" w:rsidRDefault="006A1212" w:rsidP="13D05368">
      <w:pPr>
        <w:rPr>
          <w:rFonts w:eastAsia="Arial"/>
          <w:sz w:val="22"/>
        </w:rPr>
      </w:pPr>
    </w:p>
    <w:p w14:paraId="75A60944" w14:textId="33C9751D" w:rsidR="007121AB" w:rsidRPr="007A3B60" w:rsidRDefault="00A93E96" w:rsidP="13D05368">
      <w:pPr>
        <w:rPr>
          <w:rFonts w:eastAsia="Arial"/>
          <w:sz w:val="22"/>
        </w:rPr>
      </w:pPr>
      <w:r w:rsidRPr="13D05368">
        <w:rPr>
          <w:rFonts w:eastAsia="Arial"/>
          <w:sz w:val="22"/>
        </w:rPr>
        <w:t>Several covariates were examined i</w:t>
      </w:r>
      <w:r w:rsidR="00B86031" w:rsidRPr="13D05368">
        <w:rPr>
          <w:rFonts w:eastAsia="Arial"/>
          <w:sz w:val="22"/>
        </w:rPr>
        <w:t xml:space="preserve">n relation to the outcomes including </w:t>
      </w:r>
      <w:r w:rsidR="007121AB" w:rsidRPr="13D05368">
        <w:rPr>
          <w:rFonts w:eastAsia="Arial"/>
          <w:sz w:val="22"/>
        </w:rPr>
        <w:t>household income (&lt; $100,000 vs. $100,000 - $200,000 vs. &gt; $200,000), race and ethnicity (NHW vs. NHB vs. H/L), gender (male vs. female), age of the child at the time of the survey, number of distinct food allergies</w:t>
      </w:r>
      <w:r w:rsidR="00B86031" w:rsidRPr="13D05368">
        <w:rPr>
          <w:rFonts w:eastAsia="Arial"/>
          <w:sz w:val="22"/>
        </w:rPr>
        <w:t xml:space="preserve"> (1 to 10</w:t>
      </w:r>
      <w:r w:rsidR="00B86031" w:rsidRPr="7CF16F7C">
        <w:rPr>
          <w:rFonts w:eastAsia="Arial"/>
          <w:sz w:val="22"/>
        </w:rPr>
        <w:t>)</w:t>
      </w:r>
      <w:r w:rsidR="007121AB" w:rsidRPr="7CF16F7C">
        <w:rPr>
          <w:rFonts w:eastAsia="Arial"/>
          <w:sz w:val="22"/>
        </w:rPr>
        <w:t>,</w:t>
      </w:r>
      <w:r w:rsidR="007121AB" w:rsidRPr="13D05368">
        <w:rPr>
          <w:rFonts w:eastAsia="Arial"/>
          <w:sz w:val="22"/>
        </w:rPr>
        <w:t xml:space="preserve"> </w:t>
      </w:r>
      <w:r w:rsidR="00C01CF0">
        <w:rPr>
          <w:rFonts w:eastAsia="Arial"/>
          <w:sz w:val="22"/>
        </w:rPr>
        <w:t>reporting having</w:t>
      </w:r>
      <w:r w:rsidR="007121AB" w:rsidRPr="13D05368">
        <w:rPr>
          <w:rFonts w:eastAsia="Arial"/>
          <w:sz w:val="22"/>
        </w:rPr>
        <w:t xml:space="preserve"> an FA-related medical need, having an FA-related mental health need, and having an FA-related nutritional need in the last 12 months.</w:t>
      </w:r>
    </w:p>
    <w:p w14:paraId="3FA31B2C" w14:textId="77777777" w:rsidR="00030148" w:rsidRDefault="00030148" w:rsidP="13D05368">
      <w:pPr>
        <w:rPr>
          <w:rFonts w:eastAsia="Arial"/>
          <w:sz w:val="22"/>
        </w:rPr>
      </w:pPr>
    </w:p>
    <w:p w14:paraId="4A1F318F" w14:textId="6A148930" w:rsidR="00FA46FF" w:rsidRPr="007A3B60" w:rsidRDefault="7923DBA1" w:rsidP="13D05368">
      <w:pPr>
        <w:rPr>
          <w:rFonts w:eastAsia="Arial"/>
          <w:sz w:val="22"/>
        </w:rPr>
      </w:pPr>
      <w:r w:rsidRPr="13D05368">
        <w:rPr>
          <w:rFonts w:eastAsia="Arial"/>
          <w:sz w:val="22"/>
        </w:rPr>
        <w:t xml:space="preserve">To estimate annualized costs, we leveraged a two-part model: first, a </w:t>
      </w:r>
      <w:r w:rsidR="2DE67352" w:rsidRPr="13D05368">
        <w:rPr>
          <w:rFonts w:eastAsia="Arial"/>
          <w:sz w:val="22"/>
        </w:rPr>
        <w:t>logistic</w:t>
      </w:r>
      <w:r w:rsidRPr="13D05368">
        <w:rPr>
          <w:rFonts w:eastAsia="Arial"/>
          <w:sz w:val="22"/>
        </w:rPr>
        <w:t xml:space="preserve"> model to </w:t>
      </w:r>
      <w:r w:rsidR="2DE67352" w:rsidRPr="13D05368">
        <w:rPr>
          <w:rFonts w:eastAsia="Arial"/>
          <w:sz w:val="22"/>
        </w:rPr>
        <w:t xml:space="preserve">describe the odds of having an OOP cost, and second, </w:t>
      </w:r>
      <w:r w:rsidR="0B9CAF63" w:rsidRPr="13D05368">
        <w:rPr>
          <w:rFonts w:eastAsia="Arial"/>
          <w:sz w:val="22"/>
        </w:rPr>
        <w:t>a generalized</w:t>
      </w:r>
      <w:r w:rsidR="2DE67352" w:rsidRPr="13D05368">
        <w:rPr>
          <w:rFonts w:eastAsia="Arial"/>
          <w:sz w:val="22"/>
        </w:rPr>
        <w:t xml:space="preserve"> linear model to describe the </w:t>
      </w:r>
      <w:r w:rsidR="51FEF90C" w:rsidRPr="13D05368">
        <w:rPr>
          <w:rFonts w:eastAsia="Arial"/>
          <w:sz w:val="22"/>
        </w:rPr>
        <w:t xml:space="preserve">total OOP costs. Inferences were made with standard errors clustered at the level of the enrollment site to capture the between-subject, within-site </w:t>
      </w:r>
      <w:r w:rsidR="0B9CAF63" w:rsidRPr="13D05368">
        <w:rPr>
          <w:rFonts w:eastAsia="Arial"/>
          <w:sz w:val="22"/>
        </w:rPr>
        <w:t xml:space="preserve">correlation. </w:t>
      </w:r>
      <w:r w:rsidR="00731EC9" w:rsidRPr="13D05368">
        <w:rPr>
          <w:rFonts w:eastAsia="Arial"/>
          <w:sz w:val="22"/>
        </w:rPr>
        <w:t>In addition</w:t>
      </w:r>
      <w:r w:rsidR="0B9CAF63" w:rsidRPr="13D05368">
        <w:rPr>
          <w:rFonts w:eastAsia="Arial"/>
          <w:sz w:val="22"/>
        </w:rPr>
        <w:t>,</w:t>
      </w:r>
      <w:r w:rsidR="53F17CC3" w:rsidRPr="13D05368">
        <w:rPr>
          <w:rFonts w:eastAsia="Arial"/>
          <w:sz w:val="22"/>
        </w:rPr>
        <w:t xml:space="preserve"> we used a logistic model to describe the </w:t>
      </w:r>
      <w:r w:rsidR="14E6849B" w:rsidRPr="13D05368">
        <w:rPr>
          <w:rFonts w:eastAsia="Arial"/>
          <w:sz w:val="22"/>
        </w:rPr>
        <w:t>covariate-adjusted</w:t>
      </w:r>
      <w:r w:rsidR="53F17CC3" w:rsidRPr="13D05368">
        <w:rPr>
          <w:rFonts w:eastAsia="Arial"/>
          <w:sz w:val="22"/>
        </w:rPr>
        <w:t xml:space="preserve"> odds of any </w:t>
      </w:r>
      <w:r w:rsidR="00CE0E2D" w:rsidRPr="13D05368">
        <w:rPr>
          <w:rFonts w:eastAsia="Arial"/>
          <w:sz w:val="22"/>
        </w:rPr>
        <w:t xml:space="preserve">caregiver </w:t>
      </w:r>
      <w:r w:rsidR="0B9CAF63" w:rsidRPr="13D05368">
        <w:rPr>
          <w:rFonts w:eastAsia="Arial"/>
          <w:sz w:val="22"/>
        </w:rPr>
        <w:t>lifestyle changes, any</w:t>
      </w:r>
      <w:r w:rsidR="00414FC5" w:rsidRPr="13D05368">
        <w:rPr>
          <w:rFonts w:eastAsia="Arial"/>
          <w:sz w:val="22"/>
        </w:rPr>
        <w:t xml:space="preserve"> caregiver</w:t>
      </w:r>
      <w:r w:rsidR="0B9CAF63" w:rsidRPr="13D05368">
        <w:rPr>
          <w:rFonts w:eastAsia="Arial"/>
          <w:sz w:val="22"/>
        </w:rPr>
        <w:t xml:space="preserve"> work changes, worry about </w:t>
      </w:r>
      <w:r w:rsidR="53F17CC3" w:rsidRPr="13D05368">
        <w:rPr>
          <w:rFonts w:eastAsia="Arial"/>
          <w:sz w:val="22"/>
        </w:rPr>
        <w:t>running out of food, and having purchased food not last.</w:t>
      </w:r>
      <w:r w:rsidR="7EA6A3A3" w:rsidRPr="13D05368">
        <w:rPr>
          <w:rFonts w:eastAsia="Arial"/>
          <w:sz w:val="22"/>
        </w:rPr>
        <w:t xml:space="preserve"> </w:t>
      </w:r>
    </w:p>
    <w:p w14:paraId="5E479E84" w14:textId="27E41DBD" w:rsidR="00FA46FF" w:rsidRDefault="00FA46FF" w:rsidP="13D05368">
      <w:pPr>
        <w:rPr>
          <w:rFonts w:eastAsia="Arial"/>
          <w:b/>
          <w:bCs/>
          <w:sz w:val="22"/>
        </w:rPr>
      </w:pPr>
    </w:p>
    <w:p w14:paraId="159E1985" w14:textId="3C7362F8" w:rsidR="13D05368" w:rsidRDefault="13D05368" w:rsidP="13D05368">
      <w:pPr>
        <w:rPr>
          <w:rFonts w:eastAsia="Arial"/>
          <w:b/>
          <w:bCs/>
          <w:sz w:val="22"/>
        </w:rPr>
      </w:pPr>
    </w:p>
    <w:p w14:paraId="11534D4E" w14:textId="36C35950" w:rsidR="13D05368" w:rsidRDefault="13D05368" w:rsidP="13D05368">
      <w:pPr>
        <w:rPr>
          <w:rFonts w:eastAsia="Arial"/>
          <w:b/>
          <w:bCs/>
          <w:sz w:val="22"/>
        </w:rPr>
      </w:pPr>
    </w:p>
    <w:p w14:paraId="07F73FD1" w14:textId="75600C24" w:rsidR="13D05368" w:rsidRDefault="13D05368" w:rsidP="13D05368">
      <w:pPr>
        <w:rPr>
          <w:rFonts w:eastAsia="Arial"/>
          <w:b/>
          <w:bCs/>
          <w:sz w:val="22"/>
        </w:rPr>
      </w:pPr>
    </w:p>
    <w:p w14:paraId="6A74BBD8" w14:textId="63E545B0" w:rsidR="13D05368" w:rsidRDefault="13D05368" w:rsidP="13D05368">
      <w:pPr>
        <w:rPr>
          <w:rFonts w:eastAsia="Arial"/>
          <w:b/>
          <w:bCs/>
          <w:sz w:val="22"/>
        </w:rPr>
      </w:pPr>
    </w:p>
    <w:p w14:paraId="437F8075" w14:textId="11D61709" w:rsidR="13D05368" w:rsidRDefault="13D05368" w:rsidP="13D05368">
      <w:pPr>
        <w:rPr>
          <w:rFonts w:eastAsia="Arial"/>
          <w:b/>
          <w:bCs/>
          <w:sz w:val="22"/>
        </w:rPr>
      </w:pPr>
    </w:p>
    <w:p w14:paraId="141099FC" w14:textId="0B02CF91" w:rsidR="13D05368" w:rsidRDefault="13D05368" w:rsidP="13D05368">
      <w:pPr>
        <w:rPr>
          <w:rFonts w:eastAsia="Arial"/>
          <w:b/>
          <w:bCs/>
          <w:sz w:val="22"/>
        </w:rPr>
      </w:pPr>
    </w:p>
    <w:p w14:paraId="27857553" w14:textId="4F2C1911" w:rsidR="13D05368" w:rsidRDefault="13D05368" w:rsidP="13D05368">
      <w:pPr>
        <w:rPr>
          <w:rFonts w:eastAsia="Arial"/>
          <w:b/>
          <w:bCs/>
          <w:sz w:val="22"/>
        </w:rPr>
      </w:pPr>
    </w:p>
    <w:p w14:paraId="4BD0204F" w14:textId="4BF5AE09" w:rsidR="13D05368" w:rsidRDefault="13D05368" w:rsidP="13D05368">
      <w:pPr>
        <w:rPr>
          <w:rFonts w:eastAsia="Arial"/>
          <w:b/>
          <w:bCs/>
          <w:sz w:val="22"/>
        </w:rPr>
      </w:pPr>
    </w:p>
    <w:p w14:paraId="5B85681C" w14:textId="44FDF909" w:rsidR="005619D7" w:rsidRDefault="005619D7" w:rsidP="13D05368">
      <w:pPr>
        <w:rPr>
          <w:rFonts w:eastAsia="Arial"/>
          <w:sz w:val="22"/>
        </w:rPr>
      </w:pPr>
      <w:r w:rsidRPr="13D05368">
        <w:rPr>
          <w:rFonts w:eastAsia="Arial"/>
          <w:b/>
          <w:bCs/>
          <w:sz w:val="22"/>
        </w:rPr>
        <w:lastRenderedPageBreak/>
        <w:t>Results</w:t>
      </w:r>
      <w:r w:rsidRPr="13D05368">
        <w:rPr>
          <w:rFonts w:eastAsia="Arial"/>
          <w:sz w:val="22"/>
        </w:rPr>
        <w:t>:</w:t>
      </w:r>
    </w:p>
    <w:p w14:paraId="490ACEFD" w14:textId="77777777" w:rsidR="0019765E" w:rsidRDefault="0019765E" w:rsidP="13D05368">
      <w:pPr>
        <w:rPr>
          <w:rFonts w:eastAsia="Arial"/>
          <w:sz w:val="22"/>
        </w:rPr>
      </w:pPr>
    </w:p>
    <w:p w14:paraId="52D34545" w14:textId="0C8C1CB6" w:rsidR="00F06C15" w:rsidRDefault="7CDABB2A" w:rsidP="2F0333F2">
      <w:pPr>
        <w:rPr>
          <w:rFonts w:eastAsia="Arial"/>
          <w:sz w:val="22"/>
        </w:rPr>
      </w:pPr>
      <w:r w:rsidRPr="2F0333F2">
        <w:rPr>
          <w:rFonts w:eastAsia="Arial"/>
          <w:color w:val="000000" w:themeColor="text1"/>
          <w:sz w:val="22"/>
        </w:rPr>
        <w:t>In total, 390 participants were included in this study (Table 1). 234 (60.0%) were NHW, 118 (30.3%) were NHB, and 38 (9.7%) were H/L.</w:t>
      </w:r>
      <w:r w:rsidR="3649CACA" w:rsidRPr="2F0333F2">
        <w:rPr>
          <w:rFonts w:eastAsia="Arial"/>
          <w:sz w:val="22"/>
        </w:rPr>
        <w:t xml:space="preserve"> The average </w:t>
      </w:r>
      <w:r w:rsidR="36754BDE" w:rsidRPr="2F0333F2">
        <w:rPr>
          <w:rFonts w:eastAsia="Arial"/>
          <w:sz w:val="22"/>
        </w:rPr>
        <w:t>age of the child at the time of the survey was 7.2</w:t>
      </w:r>
      <w:r w:rsidR="3649CACA" w:rsidRPr="2F0333F2">
        <w:rPr>
          <w:rFonts w:eastAsia="Arial"/>
          <w:sz w:val="22"/>
        </w:rPr>
        <w:t xml:space="preserve"> </w:t>
      </w:r>
      <w:r w:rsidR="00A01703">
        <w:rPr>
          <w:rFonts w:eastAsia="Arial"/>
          <w:sz w:val="22"/>
        </w:rPr>
        <w:t xml:space="preserve">years </w:t>
      </w:r>
      <w:r w:rsidR="3649CACA" w:rsidRPr="2F0333F2">
        <w:rPr>
          <w:rFonts w:eastAsia="Arial"/>
          <w:sz w:val="22"/>
        </w:rPr>
        <w:t xml:space="preserve">and NHB participants were older on average compared to </w:t>
      </w:r>
      <w:r w:rsidR="2E3D26CE" w:rsidRPr="2F0333F2">
        <w:rPr>
          <w:rFonts w:eastAsia="Arial"/>
          <w:sz w:val="22"/>
        </w:rPr>
        <w:t>H/L and NHW participants (</w:t>
      </w:r>
      <w:r w:rsidR="0604701E" w:rsidRPr="2F0333F2">
        <w:rPr>
          <w:rFonts w:eastAsia="Arial"/>
          <w:sz w:val="22"/>
        </w:rPr>
        <w:t xml:space="preserve">8.6 vs. 6.6 and 6.6, </w:t>
      </w:r>
      <w:r w:rsidR="2E3D26CE" w:rsidRPr="2F0333F2">
        <w:rPr>
          <w:rFonts w:eastAsia="Arial"/>
          <w:sz w:val="22"/>
        </w:rPr>
        <w:t xml:space="preserve">p &lt; 0.001). </w:t>
      </w:r>
      <w:r w:rsidR="6A6BCE6F" w:rsidRPr="2F0333F2">
        <w:rPr>
          <w:rFonts w:eastAsia="Arial"/>
          <w:sz w:val="22"/>
        </w:rPr>
        <w:t>There was a significantly higher proportion of NHB (</w:t>
      </w:r>
      <w:r w:rsidR="352CE5B6" w:rsidRPr="2F0333F2">
        <w:rPr>
          <w:rFonts w:eastAsia="Arial"/>
          <w:sz w:val="22"/>
        </w:rPr>
        <w:t>83.9</w:t>
      </w:r>
      <w:r w:rsidR="6A6BCE6F" w:rsidRPr="2F0333F2">
        <w:rPr>
          <w:rFonts w:eastAsia="Arial"/>
          <w:sz w:val="22"/>
        </w:rPr>
        <w:t>%) and H/L (</w:t>
      </w:r>
      <w:r w:rsidR="352CE5B6" w:rsidRPr="2F0333F2">
        <w:rPr>
          <w:rFonts w:eastAsia="Arial"/>
          <w:sz w:val="22"/>
        </w:rPr>
        <w:t>60.</w:t>
      </w:r>
      <w:r w:rsidR="6A6BCE6F" w:rsidRPr="2F0333F2">
        <w:rPr>
          <w:rFonts w:eastAsia="Arial"/>
          <w:sz w:val="22"/>
        </w:rPr>
        <w:t>5%)</w:t>
      </w:r>
      <w:r w:rsidR="07DDF6C3" w:rsidRPr="2F0333F2">
        <w:rPr>
          <w:rFonts w:eastAsia="Arial"/>
          <w:sz w:val="22"/>
        </w:rPr>
        <w:t xml:space="preserve">, compared to NHW </w:t>
      </w:r>
      <w:r w:rsidR="352CE5B6" w:rsidRPr="2F0333F2">
        <w:rPr>
          <w:rFonts w:eastAsia="Arial"/>
          <w:sz w:val="22"/>
        </w:rPr>
        <w:t>(18.4</w:t>
      </w:r>
      <w:r w:rsidR="4EC4B12B" w:rsidRPr="2F0333F2">
        <w:rPr>
          <w:rFonts w:eastAsia="Arial"/>
          <w:sz w:val="22"/>
        </w:rPr>
        <w:t xml:space="preserve">%), with a household income of </w:t>
      </w:r>
      <w:r w:rsidR="025A54FA" w:rsidRPr="2F0333F2">
        <w:rPr>
          <w:rFonts w:eastAsia="Arial"/>
          <w:sz w:val="22"/>
        </w:rPr>
        <w:t xml:space="preserve">less than </w:t>
      </w:r>
      <w:r w:rsidR="79808B85" w:rsidRPr="2F0333F2">
        <w:rPr>
          <w:rFonts w:eastAsia="Arial"/>
          <w:sz w:val="22"/>
        </w:rPr>
        <w:t>$100,000.</w:t>
      </w:r>
      <w:r w:rsidR="2D2A5E2B" w:rsidRPr="2F0333F2">
        <w:rPr>
          <w:rFonts w:eastAsia="Arial"/>
          <w:sz w:val="22"/>
        </w:rPr>
        <w:t xml:space="preserve"> </w:t>
      </w:r>
    </w:p>
    <w:p w14:paraId="075B4E22" w14:textId="77777777" w:rsidR="0071141D" w:rsidRDefault="0071141D" w:rsidP="13D05368">
      <w:pPr>
        <w:rPr>
          <w:rFonts w:eastAsia="Arial"/>
          <w:sz w:val="22"/>
        </w:rPr>
      </w:pPr>
    </w:p>
    <w:p w14:paraId="076F05CB" w14:textId="211D27B6" w:rsidR="001836B0" w:rsidRDefault="0280CBCE" w:rsidP="7E81893C">
      <w:pPr>
        <w:rPr>
          <w:rFonts w:eastAsia="Arial"/>
          <w:sz w:val="22"/>
        </w:rPr>
      </w:pPr>
      <w:r w:rsidRPr="7E81893C">
        <w:rPr>
          <w:rFonts w:eastAsia="Arial"/>
          <w:sz w:val="22"/>
        </w:rPr>
        <w:t xml:space="preserve">With respect to OOP costs, approximately </w:t>
      </w:r>
      <w:r w:rsidR="1A834BB0" w:rsidRPr="7E81893C">
        <w:rPr>
          <w:rFonts w:eastAsia="Arial"/>
          <w:sz w:val="22"/>
        </w:rPr>
        <w:t xml:space="preserve">154 (39.5%) </w:t>
      </w:r>
      <w:r w:rsidRPr="7E81893C">
        <w:rPr>
          <w:rFonts w:eastAsia="Arial"/>
          <w:sz w:val="22"/>
        </w:rPr>
        <w:t>of the cohort</w:t>
      </w:r>
      <w:r w:rsidR="0079BE87" w:rsidRPr="7E81893C">
        <w:rPr>
          <w:rFonts w:eastAsia="Arial"/>
          <w:sz w:val="22"/>
        </w:rPr>
        <w:t xml:space="preserve"> reported OOP cost</w:t>
      </w:r>
      <w:r w:rsidR="1BB1015F" w:rsidRPr="7E81893C">
        <w:rPr>
          <w:rFonts w:eastAsia="Arial"/>
          <w:sz w:val="22"/>
        </w:rPr>
        <w:t>s</w:t>
      </w:r>
      <w:r w:rsidR="0079BE87" w:rsidRPr="7E81893C">
        <w:rPr>
          <w:rFonts w:eastAsia="Arial"/>
          <w:sz w:val="22"/>
        </w:rPr>
        <w:t xml:space="preserve"> associated with special diets and allergen-free foods</w:t>
      </w:r>
      <w:r w:rsidR="3B1680A1" w:rsidRPr="7E81893C">
        <w:rPr>
          <w:rFonts w:eastAsia="Arial"/>
          <w:sz w:val="22"/>
        </w:rPr>
        <w:t xml:space="preserve">, with </w:t>
      </w:r>
      <w:r w:rsidR="3138F260" w:rsidRPr="7E81893C">
        <w:rPr>
          <w:rFonts w:eastAsia="Arial"/>
          <w:sz w:val="22"/>
        </w:rPr>
        <w:t xml:space="preserve">an </w:t>
      </w:r>
      <w:r w:rsidR="1A834BB0" w:rsidRPr="7E81893C">
        <w:rPr>
          <w:rFonts w:eastAsia="Arial"/>
          <w:sz w:val="22"/>
        </w:rPr>
        <w:t>average total annual OOP cost</w:t>
      </w:r>
      <w:r w:rsidR="3B1680A1" w:rsidRPr="7E81893C">
        <w:rPr>
          <w:rFonts w:eastAsia="Arial"/>
          <w:sz w:val="22"/>
        </w:rPr>
        <w:t xml:space="preserve"> of $</w:t>
      </w:r>
      <w:r w:rsidR="1A834BB0" w:rsidRPr="7E81893C">
        <w:rPr>
          <w:rFonts w:eastAsia="Arial"/>
          <w:sz w:val="22"/>
        </w:rPr>
        <w:t>2956</w:t>
      </w:r>
      <w:r w:rsidR="2914E155" w:rsidRPr="7E81893C">
        <w:rPr>
          <w:rFonts w:eastAsia="Arial"/>
          <w:sz w:val="22"/>
        </w:rPr>
        <w:t xml:space="preserve"> </w:t>
      </w:r>
      <w:r w:rsidR="4B87CB71" w:rsidRPr="7E81893C">
        <w:rPr>
          <w:rFonts w:eastAsia="Arial"/>
          <w:sz w:val="22"/>
        </w:rPr>
        <w:t xml:space="preserve">(SD $3010) </w:t>
      </w:r>
      <w:r w:rsidR="2914E155" w:rsidRPr="7E81893C">
        <w:rPr>
          <w:rFonts w:eastAsia="Arial"/>
          <w:sz w:val="22"/>
        </w:rPr>
        <w:t>(</w:t>
      </w:r>
      <w:r w:rsidR="67C28C4A" w:rsidRPr="7E81893C">
        <w:rPr>
          <w:rFonts w:eastAsia="Arial"/>
          <w:sz w:val="22"/>
        </w:rPr>
        <w:t xml:space="preserve">see </w:t>
      </w:r>
      <w:r w:rsidR="2914E155" w:rsidRPr="7E81893C">
        <w:rPr>
          <w:rFonts w:eastAsia="Arial"/>
          <w:sz w:val="22"/>
        </w:rPr>
        <w:t xml:space="preserve">Table </w:t>
      </w:r>
      <w:r w:rsidR="695F6DD0" w:rsidRPr="7E81893C">
        <w:rPr>
          <w:rFonts w:eastAsia="Arial"/>
          <w:sz w:val="22"/>
        </w:rPr>
        <w:t>2</w:t>
      </w:r>
      <w:r w:rsidR="2914E155" w:rsidRPr="7E81893C">
        <w:rPr>
          <w:rFonts w:eastAsia="Arial"/>
          <w:sz w:val="22"/>
        </w:rPr>
        <w:t>)</w:t>
      </w:r>
      <w:r w:rsidR="366AD7E2" w:rsidRPr="7E81893C">
        <w:rPr>
          <w:rFonts w:eastAsia="Arial"/>
          <w:sz w:val="22"/>
        </w:rPr>
        <w:t xml:space="preserve">. </w:t>
      </w:r>
      <w:r w:rsidR="16D0FEB1" w:rsidRPr="7E81893C">
        <w:rPr>
          <w:rFonts w:eastAsia="Arial"/>
          <w:sz w:val="22"/>
        </w:rPr>
        <w:t xml:space="preserve">There were 165 (42.3%) of </w:t>
      </w:r>
      <w:r w:rsidR="720857E3" w:rsidRPr="7E81893C">
        <w:rPr>
          <w:rFonts w:eastAsia="Arial"/>
          <w:sz w:val="22"/>
        </w:rPr>
        <w:t xml:space="preserve">caregivers </w:t>
      </w:r>
      <w:r w:rsidR="16D0FEB1" w:rsidRPr="7E81893C">
        <w:rPr>
          <w:rFonts w:eastAsia="Arial"/>
          <w:sz w:val="22"/>
        </w:rPr>
        <w:t>who reported an OOP cost a</w:t>
      </w:r>
      <w:r w:rsidR="64318757" w:rsidRPr="7E81893C">
        <w:rPr>
          <w:rFonts w:eastAsia="Arial"/>
          <w:sz w:val="22"/>
        </w:rPr>
        <w:t xml:space="preserve">ssociated with filling an epinephrine prescription with an average annualized cost of $446 (SD: $2,680). </w:t>
      </w:r>
      <w:r w:rsidR="693436C9" w:rsidRPr="7E81893C">
        <w:rPr>
          <w:rFonts w:eastAsia="Arial"/>
          <w:sz w:val="22"/>
        </w:rPr>
        <w:t xml:space="preserve">The </w:t>
      </w:r>
      <w:r w:rsidR="59153088" w:rsidRPr="7E81893C">
        <w:rPr>
          <w:rFonts w:eastAsia="Arial"/>
          <w:sz w:val="22"/>
        </w:rPr>
        <w:t>most reported</w:t>
      </w:r>
      <w:r w:rsidR="693436C9" w:rsidRPr="7E81893C">
        <w:rPr>
          <w:rFonts w:eastAsia="Arial"/>
          <w:sz w:val="22"/>
        </w:rPr>
        <w:t xml:space="preserve"> OOP cost was associated with antihistamines with approximately 277 (71.0%) reporting an OOP cost</w:t>
      </w:r>
      <w:r w:rsidR="003F0B5A">
        <w:rPr>
          <w:rFonts w:eastAsia="Arial"/>
          <w:sz w:val="22"/>
        </w:rPr>
        <w:t xml:space="preserve">. </w:t>
      </w:r>
      <w:r w:rsidR="00F4661B">
        <w:rPr>
          <w:rFonts w:eastAsia="Arial"/>
          <w:sz w:val="22"/>
        </w:rPr>
        <w:t>The</w:t>
      </w:r>
      <w:r w:rsidR="003F0B5A">
        <w:rPr>
          <w:rFonts w:eastAsia="Arial"/>
          <w:sz w:val="22"/>
        </w:rPr>
        <w:t xml:space="preserve"> distribution </w:t>
      </w:r>
      <w:r w:rsidR="00F4661B">
        <w:rPr>
          <w:rFonts w:eastAsia="Arial"/>
          <w:sz w:val="22"/>
        </w:rPr>
        <w:t xml:space="preserve">of annualized antihistamine cost was right-skewed, </w:t>
      </w:r>
      <w:r w:rsidR="693436C9" w:rsidRPr="7E81893C">
        <w:rPr>
          <w:rFonts w:eastAsia="Arial"/>
          <w:sz w:val="22"/>
        </w:rPr>
        <w:t xml:space="preserve">which resulted in an average annualized cost of $265. </w:t>
      </w:r>
      <w:r w:rsidR="1D515246" w:rsidRPr="7E81893C">
        <w:rPr>
          <w:rFonts w:eastAsia="Arial"/>
          <w:sz w:val="22"/>
        </w:rPr>
        <w:t xml:space="preserve">In the last 12 months, </w:t>
      </w:r>
      <w:r w:rsidR="6FD38701" w:rsidRPr="7E81893C">
        <w:rPr>
          <w:rFonts w:eastAsia="Arial"/>
          <w:sz w:val="22"/>
        </w:rPr>
        <w:t>189</w:t>
      </w:r>
      <w:r w:rsidR="45A75D6D" w:rsidRPr="7E81893C">
        <w:rPr>
          <w:rFonts w:eastAsia="Arial"/>
          <w:sz w:val="22"/>
        </w:rPr>
        <w:t xml:space="preserve"> (</w:t>
      </w:r>
      <w:r w:rsidR="6963AE30" w:rsidRPr="7E81893C">
        <w:rPr>
          <w:rFonts w:eastAsia="Arial"/>
          <w:sz w:val="22"/>
        </w:rPr>
        <w:t>48.5</w:t>
      </w:r>
      <w:r w:rsidR="45A75D6D" w:rsidRPr="7E81893C">
        <w:rPr>
          <w:rFonts w:eastAsia="Arial"/>
          <w:sz w:val="22"/>
        </w:rPr>
        <w:t xml:space="preserve">%) of </w:t>
      </w:r>
      <w:r w:rsidR="73B5F5C5" w:rsidRPr="7E81893C">
        <w:rPr>
          <w:rFonts w:eastAsia="Arial"/>
          <w:sz w:val="22"/>
        </w:rPr>
        <w:t xml:space="preserve">caregivers </w:t>
      </w:r>
      <w:r w:rsidR="77EA7890" w:rsidRPr="7E81893C">
        <w:rPr>
          <w:rFonts w:eastAsia="Arial"/>
          <w:sz w:val="22"/>
        </w:rPr>
        <w:t xml:space="preserve">reported </w:t>
      </w:r>
      <w:r w:rsidR="229AE6BD" w:rsidRPr="7E81893C">
        <w:rPr>
          <w:rFonts w:eastAsia="Arial"/>
          <w:sz w:val="22"/>
        </w:rPr>
        <w:t xml:space="preserve">that their child needed </w:t>
      </w:r>
      <w:r w:rsidR="45A75D6D" w:rsidRPr="7E81893C">
        <w:rPr>
          <w:rFonts w:eastAsia="Arial"/>
          <w:sz w:val="22"/>
        </w:rPr>
        <w:t>to see a medical provider due to their FA</w:t>
      </w:r>
      <w:r w:rsidR="2A13D759" w:rsidRPr="7E81893C">
        <w:rPr>
          <w:rFonts w:eastAsia="Arial"/>
          <w:sz w:val="22"/>
        </w:rPr>
        <w:t xml:space="preserve">. </w:t>
      </w:r>
      <w:r w:rsidR="282E2A4F" w:rsidRPr="7E81893C">
        <w:rPr>
          <w:rFonts w:eastAsia="Arial"/>
          <w:sz w:val="22"/>
        </w:rPr>
        <w:t>Further, 1</w:t>
      </w:r>
      <w:r w:rsidR="6963AE30" w:rsidRPr="7E81893C">
        <w:rPr>
          <w:rFonts w:eastAsia="Arial"/>
          <w:sz w:val="22"/>
        </w:rPr>
        <w:t>5</w:t>
      </w:r>
      <w:r w:rsidR="282E2A4F" w:rsidRPr="7E81893C">
        <w:rPr>
          <w:rFonts w:eastAsia="Arial"/>
          <w:sz w:val="22"/>
        </w:rPr>
        <w:t xml:space="preserve"> (</w:t>
      </w:r>
      <w:r w:rsidR="6963AE30" w:rsidRPr="7E81893C">
        <w:rPr>
          <w:rFonts w:eastAsia="Arial"/>
          <w:sz w:val="22"/>
        </w:rPr>
        <w:t>3.8</w:t>
      </w:r>
      <w:r w:rsidR="282E2A4F" w:rsidRPr="7E81893C">
        <w:rPr>
          <w:rFonts w:eastAsia="Arial"/>
          <w:sz w:val="22"/>
        </w:rPr>
        <w:t xml:space="preserve">%) of the cohort </w:t>
      </w:r>
      <w:r w:rsidR="1C7A37D2" w:rsidRPr="7E81893C">
        <w:rPr>
          <w:rFonts w:eastAsia="Arial"/>
          <w:sz w:val="22"/>
        </w:rPr>
        <w:t xml:space="preserve">reported </w:t>
      </w:r>
      <w:r w:rsidR="282E2A4F" w:rsidRPr="7E81893C">
        <w:rPr>
          <w:rFonts w:eastAsia="Arial"/>
          <w:sz w:val="22"/>
        </w:rPr>
        <w:t>need</w:t>
      </w:r>
      <w:r w:rsidR="5CB03886" w:rsidRPr="7E81893C">
        <w:rPr>
          <w:rFonts w:eastAsia="Arial"/>
          <w:sz w:val="22"/>
        </w:rPr>
        <w:t>ing</w:t>
      </w:r>
      <w:r w:rsidR="282E2A4F" w:rsidRPr="7E81893C">
        <w:rPr>
          <w:rFonts w:eastAsia="Arial"/>
          <w:sz w:val="22"/>
        </w:rPr>
        <w:t xml:space="preserve"> to see a mental health provider</w:t>
      </w:r>
      <w:r w:rsidR="769949E4" w:rsidRPr="7E81893C">
        <w:rPr>
          <w:rFonts w:eastAsia="Arial"/>
          <w:sz w:val="22"/>
        </w:rPr>
        <w:t xml:space="preserve"> due to their FA</w:t>
      </w:r>
      <w:r w:rsidR="282E2A4F" w:rsidRPr="7E81893C">
        <w:rPr>
          <w:rFonts w:eastAsia="Arial"/>
          <w:sz w:val="22"/>
        </w:rPr>
        <w:t xml:space="preserve"> and 26 (6.</w:t>
      </w:r>
      <w:r w:rsidR="6963AE30" w:rsidRPr="7E81893C">
        <w:rPr>
          <w:rFonts w:eastAsia="Arial"/>
          <w:sz w:val="22"/>
        </w:rPr>
        <w:t>7</w:t>
      </w:r>
      <w:r w:rsidR="282E2A4F" w:rsidRPr="7E81893C">
        <w:rPr>
          <w:rFonts w:eastAsia="Arial"/>
          <w:sz w:val="22"/>
        </w:rPr>
        <w:t xml:space="preserve">%) of participants </w:t>
      </w:r>
      <w:r w:rsidR="6C5D5C44" w:rsidRPr="7E81893C">
        <w:rPr>
          <w:rFonts w:eastAsia="Arial"/>
          <w:sz w:val="22"/>
        </w:rPr>
        <w:t xml:space="preserve">reported </w:t>
      </w:r>
      <w:r w:rsidR="282E2A4F" w:rsidRPr="7E81893C">
        <w:rPr>
          <w:rFonts w:eastAsia="Arial"/>
          <w:sz w:val="22"/>
        </w:rPr>
        <w:t>need</w:t>
      </w:r>
      <w:r w:rsidR="6120F9A1" w:rsidRPr="7E81893C">
        <w:rPr>
          <w:rFonts w:eastAsia="Arial"/>
          <w:sz w:val="22"/>
        </w:rPr>
        <w:t>ing</w:t>
      </w:r>
      <w:r w:rsidR="282E2A4F" w:rsidRPr="7E81893C">
        <w:rPr>
          <w:rFonts w:eastAsia="Arial"/>
          <w:sz w:val="22"/>
        </w:rPr>
        <w:t xml:space="preserve"> to see a nutrition provide</w:t>
      </w:r>
      <w:r w:rsidR="71767D73" w:rsidRPr="7E81893C">
        <w:rPr>
          <w:rFonts w:eastAsia="Arial"/>
          <w:sz w:val="22"/>
        </w:rPr>
        <w:t>r due to their FA.</w:t>
      </w:r>
      <w:r w:rsidR="4A36F34D" w:rsidRPr="7E81893C">
        <w:rPr>
          <w:rFonts w:eastAsia="Arial"/>
          <w:sz w:val="22"/>
        </w:rPr>
        <w:t xml:space="preserve"> The average number of missed </w:t>
      </w:r>
      <w:r w:rsidR="2ED753E8" w:rsidRPr="7E81893C">
        <w:rPr>
          <w:rFonts w:eastAsia="Arial"/>
          <w:sz w:val="22"/>
        </w:rPr>
        <w:t>workdays</w:t>
      </w:r>
      <w:r w:rsidR="4A36F34D" w:rsidRPr="7E81893C">
        <w:rPr>
          <w:rFonts w:eastAsia="Arial"/>
          <w:sz w:val="22"/>
        </w:rPr>
        <w:t xml:space="preserve"> of the caregiver was 0.9 </w:t>
      </w:r>
      <w:r w:rsidR="5CE1D36F" w:rsidRPr="7E81893C">
        <w:rPr>
          <w:rFonts w:eastAsia="Arial"/>
          <w:sz w:val="22"/>
        </w:rPr>
        <w:t xml:space="preserve">(SD: 2.6) </w:t>
      </w:r>
      <w:r w:rsidR="005267D9">
        <w:rPr>
          <w:rFonts w:eastAsia="Arial"/>
          <w:sz w:val="22"/>
        </w:rPr>
        <w:t xml:space="preserve">annually </w:t>
      </w:r>
      <w:r w:rsidR="0975354F" w:rsidRPr="7E81893C">
        <w:rPr>
          <w:rFonts w:eastAsia="Arial"/>
          <w:sz w:val="22"/>
        </w:rPr>
        <w:t xml:space="preserve">and 21.0% of caregivers reported </w:t>
      </w:r>
      <w:r w:rsidR="00C601A4">
        <w:rPr>
          <w:rFonts w:eastAsia="Arial"/>
          <w:sz w:val="22"/>
        </w:rPr>
        <w:t xml:space="preserve">ever </w:t>
      </w:r>
      <w:r w:rsidR="0975354F" w:rsidRPr="7E81893C">
        <w:rPr>
          <w:rFonts w:eastAsia="Arial"/>
          <w:sz w:val="22"/>
        </w:rPr>
        <w:t>having to make any work changes due to their child’s FA.</w:t>
      </w:r>
      <w:r w:rsidR="3ED2B283" w:rsidRPr="7E81893C">
        <w:rPr>
          <w:rFonts w:eastAsia="Arial"/>
          <w:sz w:val="22"/>
        </w:rPr>
        <w:t xml:space="preserve"> There were 300 (76.9%) </w:t>
      </w:r>
      <w:r w:rsidR="7AE676A6" w:rsidRPr="7E81893C">
        <w:rPr>
          <w:rFonts w:eastAsia="Arial"/>
          <w:sz w:val="22"/>
        </w:rPr>
        <w:t>caregivers</w:t>
      </w:r>
      <w:r w:rsidR="3ED2B283" w:rsidRPr="7E81893C">
        <w:rPr>
          <w:rFonts w:eastAsia="Arial"/>
          <w:sz w:val="22"/>
        </w:rPr>
        <w:t xml:space="preserve"> who reported having to make any lifestyle changes due to their child’s FA. Finally, 53 (13.6%) and 47 (12.1%) of ca</w:t>
      </w:r>
      <w:r w:rsidR="6E75B03A" w:rsidRPr="7E81893C">
        <w:rPr>
          <w:rFonts w:eastAsia="Arial"/>
          <w:sz w:val="22"/>
        </w:rPr>
        <w:t>regivers reported worrying about running out of food in the last 12 months and having purchased food not last, respectively.</w:t>
      </w:r>
    </w:p>
    <w:p w14:paraId="7BD8BF0A" w14:textId="1CCC2E96" w:rsidR="001836B0" w:rsidRDefault="001836B0" w:rsidP="13D05368">
      <w:pPr>
        <w:rPr>
          <w:rFonts w:eastAsia="Arial"/>
          <w:sz w:val="22"/>
        </w:rPr>
      </w:pPr>
    </w:p>
    <w:p w14:paraId="67480C6C" w14:textId="381420F6" w:rsidR="001836B0" w:rsidRDefault="63715B42" w:rsidP="13D05368">
      <w:pPr>
        <w:rPr>
          <w:rFonts w:eastAsia="Arial"/>
          <w:sz w:val="22"/>
        </w:rPr>
      </w:pPr>
      <w:r w:rsidRPr="13D05368">
        <w:rPr>
          <w:rFonts w:eastAsia="Arial"/>
          <w:sz w:val="22"/>
        </w:rPr>
        <w:t xml:space="preserve">Table 3 </w:t>
      </w:r>
      <w:r w:rsidR="5AECA534" w:rsidRPr="13D05368">
        <w:rPr>
          <w:rFonts w:eastAsia="Arial"/>
          <w:sz w:val="22"/>
        </w:rPr>
        <w:t>describes</w:t>
      </w:r>
      <w:r w:rsidRPr="13D05368">
        <w:rPr>
          <w:rFonts w:eastAsia="Arial"/>
          <w:sz w:val="22"/>
        </w:rPr>
        <w:t xml:space="preserve"> the results of the two-part </w:t>
      </w:r>
      <w:r w:rsidR="456DBA96" w:rsidRPr="13D05368">
        <w:rPr>
          <w:rFonts w:eastAsia="Arial"/>
          <w:sz w:val="22"/>
        </w:rPr>
        <w:t xml:space="preserve">covariate-adjusted regression </w:t>
      </w:r>
      <w:r w:rsidRPr="13D05368">
        <w:rPr>
          <w:rFonts w:eastAsia="Arial"/>
          <w:sz w:val="22"/>
        </w:rPr>
        <w:t xml:space="preserve">models for annualized OOP costs associated with diet, </w:t>
      </w:r>
      <w:r w:rsidR="00754B54" w:rsidRPr="13D05368">
        <w:rPr>
          <w:rFonts w:eastAsia="Arial"/>
          <w:sz w:val="22"/>
        </w:rPr>
        <w:t>EAI</w:t>
      </w:r>
      <w:r w:rsidRPr="13D05368">
        <w:rPr>
          <w:rFonts w:eastAsia="Arial"/>
          <w:sz w:val="22"/>
        </w:rPr>
        <w:t xml:space="preserve">, antihistamines and the number of missed </w:t>
      </w:r>
      <w:r w:rsidR="530EACBE" w:rsidRPr="13D05368">
        <w:rPr>
          <w:rFonts w:eastAsia="Arial"/>
          <w:sz w:val="22"/>
        </w:rPr>
        <w:t>workdays</w:t>
      </w:r>
      <w:r w:rsidRPr="13D05368">
        <w:rPr>
          <w:rFonts w:eastAsia="Arial"/>
          <w:sz w:val="22"/>
        </w:rPr>
        <w:t>.</w:t>
      </w:r>
      <w:r w:rsidR="5B518903" w:rsidRPr="13D05368">
        <w:rPr>
          <w:rFonts w:eastAsia="Arial"/>
          <w:sz w:val="22"/>
        </w:rPr>
        <w:t xml:space="preserve"> </w:t>
      </w:r>
      <w:r w:rsidR="71F6B038" w:rsidRPr="13D05368">
        <w:rPr>
          <w:rFonts w:eastAsia="Arial"/>
          <w:sz w:val="22"/>
        </w:rPr>
        <w:t xml:space="preserve">NHB participants were less likely to incur </w:t>
      </w:r>
      <w:r w:rsidR="5F57D5D3" w:rsidRPr="13D05368">
        <w:rPr>
          <w:rFonts w:eastAsia="Arial"/>
          <w:sz w:val="22"/>
        </w:rPr>
        <w:t xml:space="preserve">any </w:t>
      </w:r>
      <w:r w:rsidR="6809332E" w:rsidRPr="13D05368">
        <w:rPr>
          <w:rFonts w:eastAsia="Arial"/>
          <w:sz w:val="22"/>
        </w:rPr>
        <w:t>OOP diet costs (OR: 0.</w:t>
      </w:r>
      <w:r w:rsidR="00E62E5F" w:rsidRPr="13D05368">
        <w:rPr>
          <w:rFonts w:eastAsia="Arial"/>
          <w:sz w:val="22"/>
        </w:rPr>
        <w:t>5</w:t>
      </w:r>
      <w:r w:rsidR="6809332E" w:rsidRPr="13D05368">
        <w:rPr>
          <w:rFonts w:eastAsia="Arial"/>
          <w:sz w:val="22"/>
        </w:rPr>
        <w:t>, 95% CI: 0.</w:t>
      </w:r>
      <w:r w:rsidR="00E62E5F" w:rsidRPr="13D05368">
        <w:rPr>
          <w:rFonts w:eastAsia="Arial"/>
          <w:sz w:val="22"/>
        </w:rPr>
        <w:t>3</w:t>
      </w:r>
      <w:r w:rsidR="6809332E" w:rsidRPr="13D05368">
        <w:rPr>
          <w:rFonts w:eastAsia="Arial"/>
          <w:sz w:val="22"/>
        </w:rPr>
        <w:t>, 0.9)</w:t>
      </w:r>
      <w:r w:rsidR="2A289596" w:rsidRPr="13D05368">
        <w:rPr>
          <w:rFonts w:eastAsia="Arial"/>
          <w:sz w:val="22"/>
        </w:rPr>
        <w:t xml:space="preserve"> compared to NHW participants</w:t>
      </w:r>
      <w:r w:rsidR="6809332E" w:rsidRPr="13D05368">
        <w:rPr>
          <w:rFonts w:eastAsia="Arial"/>
          <w:sz w:val="22"/>
        </w:rPr>
        <w:t>. Each additional allergy was associated with a 20% increase in the odds of incurring an</w:t>
      </w:r>
      <w:r w:rsidR="788C01B4" w:rsidRPr="13D05368">
        <w:rPr>
          <w:rFonts w:eastAsia="Arial"/>
          <w:sz w:val="22"/>
        </w:rPr>
        <w:t>y</w:t>
      </w:r>
      <w:r w:rsidR="6809332E" w:rsidRPr="13D05368">
        <w:rPr>
          <w:rFonts w:eastAsia="Arial"/>
          <w:sz w:val="22"/>
        </w:rPr>
        <w:t xml:space="preserve"> OOP diet cost</w:t>
      </w:r>
      <w:r w:rsidR="7A6738E2" w:rsidRPr="13D05368">
        <w:rPr>
          <w:rFonts w:eastAsia="Arial"/>
          <w:sz w:val="22"/>
        </w:rPr>
        <w:t xml:space="preserve"> </w:t>
      </w:r>
      <w:r w:rsidR="00E62E5F" w:rsidRPr="13D05368">
        <w:rPr>
          <w:rFonts w:eastAsia="Arial"/>
          <w:sz w:val="22"/>
        </w:rPr>
        <w:t xml:space="preserve">(OR: 1.2, 95% CI: 1.1, 1.4) </w:t>
      </w:r>
      <w:r w:rsidR="7A6738E2" w:rsidRPr="13D05368">
        <w:rPr>
          <w:rFonts w:eastAsia="Arial"/>
          <w:sz w:val="22"/>
        </w:rPr>
        <w:t>and</w:t>
      </w:r>
      <w:r w:rsidR="6809332E" w:rsidRPr="13D05368">
        <w:rPr>
          <w:rFonts w:eastAsia="Arial"/>
          <w:sz w:val="22"/>
        </w:rPr>
        <w:t xml:space="preserve"> </w:t>
      </w:r>
      <w:r w:rsidR="49716C42" w:rsidRPr="13D05368">
        <w:rPr>
          <w:rFonts w:eastAsia="Arial"/>
          <w:sz w:val="22"/>
        </w:rPr>
        <w:t xml:space="preserve">reportedly </w:t>
      </w:r>
      <w:r w:rsidR="6809332E" w:rsidRPr="13D05368">
        <w:rPr>
          <w:rFonts w:eastAsia="Arial"/>
          <w:sz w:val="22"/>
        </w:rPr>
        <w:t xml:space="preserve">needing to see a medical </w:t>
      </w:r>
      <w:r w:rsidR="007D3F59" w:rsidRPr="13D05368">
        <w:rPr>
          <w:rFonts w:eastAsia="Arial"/>
          <w:sz w:val="22"/>
        </w:rPr>
        <w:t xml:space="preserve">due to FA </w:t>
      </w:r>
      <w:r w:rsidR="0B17DDE6" w:rsidRPr="13D05368">
        <w:rPr>
          <w:rFonts w:eastAsia="Arial"/>
          <w:sz w:val="22"/>
        </w:rPr>
        <w:t>(OR: 2.</w:t>
      </w:r>
      <w:r w:rsidR="006633C8" w:rsidRPr="13D05368">
        <w:rPr>
          <w:rFonts w:eastAsia="Arial"/>
          <w:sz w:val="22"/>
        </w:rPr>
        <w:t>5</w:t>
      </w:r>
      <w:r w:rsidR="0B17DDE6" w:rsidRPr="13D05368">
        <w:rPr>
          <w:rFonts w:eastAsia="Arial"/>
          <w:sz w:val="22"/>
        </w:rPr>
        <w:t>, 95% CI: 1.</w:t>
      </w:r>
      <w:r w:rsidR="006633C8" w:rsidRPr="13D05368">
        <w:rPr>
          <w:rFonts w:eastAsia="Arial"/>
          <w:sz w:val="22"/>
        </w:rPr>
        <w:t>6</w:t>
      </w:r>
      <w:r w:rsidR="0B17DDE6" w:rsidRPr="13D05368">
        <w:rPr>
          <w:rFonts w:eastAsia="Arial"/>
          <w:sz w:val="22"/>
        </w:rPr>
        <w:t>, 3.</w:t>
      </w:r>
      <w:r w:rsidR="006633C8" w:rsidRPr="13D05368">
        <w:rPr>
          <w:rFonts w:eastAsia="Arial"/>
          <w:sz w:val="22"/>
        </w:rPr>
        <w:t>7</w:t>
      </w:r>
      <w:r w:rsidR="0B17DDE6" w:rsidRPr="13D05368">
        <w:rPr>
          <w:rFonts w:eastAsia="Arial"/>
          <w:sz w:val="22"/>
        </w:rPr>
        <w:t xml:space="preserve">) </w:t>
      </w:r>
      <w:r w:rsidR="6809332E" w:rsidRPr="13D05368">
        <w:rPr>
          <w:rFonts w:eastAsia="Arial"/>
          <w:sz w:val="22"/>
        </w:rPr>
        <w:t xml:space="preserve">or nutrition </w:t>
      </w:r>
      <w:r w:rsidR="0B17DDE6" w:rsidRPr="13D05368">
        <w:rPr>
          <w:rFonts w:eastAsia="Arial"/>
          <w:sz w:val="22"/>
        </w:rPr>
        <w:t>(OR: 2.7, 95% CI: 1.1, 6.</w:t>
      </w:r>
      <w:r w:rsidR="006633C8" w:rsidRPr="13D05368">
        <w:rPr>
          <w:rFonts w:eastAsia="Arial"/>
          <w:sz w:val="22"/>
        </w:rPr>
        <w:t>7</w:t>
      </w:r>
      <w:r w:rsidR="0B17DDE6" w:rsidRPr="13D05368">
        <w:rPr>
          <w:rFonts w:eastAsia="Arial"/>
          <w:sz w:val="22"/>
        </w:rPr>
        <w:t xml:space="preserve">) </w:t>
      </w:r>
      <w:r w:rsidR="6809332E" w:rsidRPr="13D05368">
        <w:rPr>
          <w:rFonts w:eastAsia="Arial"/>
          <w:sz w:val="22"/>
        </w:rPr>
        <w:t xml:space="preserve">provider were </w:t>
      </w:r>
      <w:r w:rsidR="0C7FFA8B" w:rsidRPr="13D05368">
        <w:rPr>
          <w:rFonts w:eastAsia="Arial"/>
          <w:sz w:val="22"/>
        </w:rPr>
        <w:t>each</w:t>
      </w:r>
      <w:r w:rsidR="6809332E" w:rsidRPr="13D05368">
        <w:rPr>
          <w:rFonts w:eastAsia="Arial"/>
          <w:sz w:val="22"/>
        </w:rPr>
        <w:t xml:space="preserve"> associated with</w:t>
      </w:r>
      <w:r w:rsidR="5A3844C6" w:rsidRPr="13D05368">
        <w:rPr>
          <w:rFonts w:eastAsia="Arial"/>
          <w:sz w:val="22"/>
        </w:rPr>
        <w:t xml:space="preserve"> increased odds of hav</w:t>
      </w:r>
      <w:r w:rsidR="0B17DDE6" w:rsidRPr="13D05368">
        <w:rPr>
          <w:rFonts w:eastAsia="Arial"/>
          <w:sz w:val="22"/>
        </w:rPr>
        <w:t>ing an OOP diet cost.</w:t>
      </w:r>
      <w:r w:rsidR="1D2F0A7F" w:rsidRPr="13D05368">
        <w:rPr>
          <w:rFonts w:eastAsia="Arial"/>
          <w:sz w:val="22"/>
        </w:rPr>
        <w:t xml:space="preserve"> Caregivers of H/L children had higher annual diet costs</w:t>
      </w:r>
      <w:r w:rsidR="13EC3CDD" w:rsidRPr="13D05368">
        <w:rPr>
          <w:rFonts w:eastAsia="Arial"/>
          <w:sz w:val="22"/>
        </w:rPr>
        <w:t xml:space="preserve"> than NHW on average ($</w:t>
      </w:r>
      <w:r w:rsidR="006633C8" w:rsidRPr="13D05368">
        <w:rPr>
          <w:rFonts w:eastAsia="Arial"/>
          <w:sz w:val="22"/>
        </w:rPr>
        <w:t>1093</w:t>
      </w:r>
      <w:r w:rsidR="13EC3CDD" w:rsidRPr="13D05368">
        <w:rPr>
          <w:rFonts w:eastAsia="Arial"/>
          <w:sz w:val="22"/>
        </w:rPr>
        <w:t xml:space="preserve">, 95% CI: </w:t>
      </w:r>
      <w:r w:rsidR="009B2CB6" w:rsidRPr="13D05368">
        <w:rPr>
          <w:rFonts w:eastAsia="Arial"/>
          <w:sz w:val="22"/>
        </w:rPr>
        <w:t>$</w:t>
      </w:r>
      <w:r w:rsidR="13EC3CDD" w:rsidRPr="13D05368">
        <w:rPr>
          <w:rFonts w:eastAsia="Arial"/>
          <w:sz w:val="22"/>
        </w:rPr>
        <w:t>45</w:t>
      </w:r>
      <w:r w:rsidR="006633C8" w:rsidRPr="13D05368">
        <w:rPr>
          <w:rFonts w:eastAsia="Arial"/>
          <w:sz w:val="22"/>
        </w:rPr>
        <w:t>4</w:t>
      </w:r>
      <w:r w:rsidR="13EC3CDD" w:rsidRPr="13D05368">
        <w:rPr>
          <w:rFonts w:eastAsia="Arial"/>
          <w:sz w:val="22"/>
        </w:rPr>
        <w:t xml:space="preserve">, </w:t>
      </w:r>
      <w:r w:rsidR="009B2CB6" w:rsidRPr="13D05368">
        <w:rPr>
          <w:rFonts w:eastAsia="Arial"/>
          <w:sz w:val="22"/>
        </w:rPr>
        <w:t>$</w:t>
      </w:r>
      <w:r w:rsidR="13EC3CDD" w:rsidRPr="13D05368">
        <w:rPr>
          <w:rFonts w:eastAsia="Arial"/>
          <w:sz w:val="22"/>
        </w:rPr>
        <w:t>17</w:t>
      </w:r>
      <w:r w:rsidR="006633C8" w:rsidRPr="13D05368">
        <w:rPr>
          <w:rFonts w:eastAsia="Arial"/>
          <w:sz w:val="22"/>
        </w:rPr>
        <w:t>32</w:t>
      </w:r>
      <w:r w:rsidR="13EC3CDD" w:rsidRPr="13D05368">
        <w:rPr>
          <w:rFonts w:eastAsia="Arial"/>
          <w:sz w:val="22"/>
        </w:rPr>
        <w:t>) and</w:t>
      </w:r>
      <w:r w:rsidR="2A54300D" w:rsidRPr="13D05368">
        <w:rPr>
          <w:rFonts w:eastAsia="Arial"/>
          <w:sz w:val="22"/>
        </w:rPr>
        <w:t xml:space="preserve"> </w:t>
      </w:r>
      <w:r w:rsidR="13EC3CDD" w:rsidRPr="13D05368">
        <w:rPr>
          <w:rFonts w:eastAsia="Arial"/>
          <w:sz w:val="22"/>
        </w:rPr>
        <w:t>e</w:t>
      </w:r>
      <w:r w:rsidR="2A54300D" w:rsidRPr="13D05368">
        <w:rPr>
          <w:rFonts w:eastAsia="Arial"/>
          <w:sz w:val="22"/>
        </w:rPr>
        <w:t>very additional distinct food allergy was associated with a $2</w:t>
      </w:r>
      <w:r w:rsidR="006633C8" w:rsidRPr="13D05368">
        <w:rPr>
          <w:rFonts w:eastAsia="Arial"/>
          <w:sz w:val="22"/>
        </w:rPr>
        <w:t>67</w:t>
      </w:r>
      <w:r w:rsidR="2A54300D" w:rsidRPr="13D05368">
        <w:rPr>
          <w:rFonts w:eastAsia="Arial"/>
          <w:sz w:val="22"/>
        </w:rPr>
        <w:t xml:space="preserve"> (95% CI: </w:t>
      </w:r>
      <w:r w:rsidR="009B2CB6" w:rsidRPr="13D05368">
        <w:rPr>
          <w:rFonts w:eastAsia="Arial"/>
          <w:sz w:val="22"/>
        </w:rPr>
        <w:t>$</w:t>
      </w:r>
      <w:r w:rsidR="6593A429" w:rsidRPr="13D05368">
        <w:rPr>
          <w:rFonts w:eastAsia="Arial"/>
          <w:sz w:val="22"/>
        </w:rPr>
        <w:t>2</w:t>
      </w:r>
      <w:r w:rsidR="006633C8" w:rsidRPr="13D05368">
        <w:rPr>
          <w:rFonts w:eastAsia="Arial"/>
          <w:sz w:val="22"/>
        </w:rPr>
        <w:t>02</w:t>
      </w:r>
      <w:r w:rsidR="6593A429" w:rsidRPr="13D05368">
        <w:rPr>
          <w:rFonts w:eastAsia="Arial"/>
          <w:sz w:val="22"/>
        </w:rPr>
        <w:t xml:space="preserve">, </w:t>
      </w:r>
      <w:r w:rsidR="009B2CB6" w:rsidRPr="13D05368">
        <w:rPr>
          <w:rFonts w:eastAsia="Arial"/>
          <w:sz w:val="22"/>
        </w:rPr>
        <w:t>$</w:t>
      </w:r>
      <w:r w:rsidR="6593A429" w:rsidRPr="13D05368">
        <w:rPr>
          <w:rFonts w:eastAsia="Arial"/>
          <w:sz w:val="22"/>
        </w:rPr>
        <w:t>33</w:t>
      </w:r>
      <w:r w:rsidR="006633C8" w:rsidRPr="13D05368">
        <w:rPr>
          <w:rFonts w:eastAsia="Arial"/>
          <w:sz w:val="22"/>
        </w:rPr>
        <w:t>2</w:t>
      </w:r>
      <w:r w:rsidR="6593A429" w:rsidRPr="13D05368">
        <w:rPr>
          <w:rFonts w:eastAsia="Arial"/>
          <w:sz w:val="22"/>
        </w:rPr>
        <w:t xml:space="preserve">) </w:t>
      </w:r>
      <w:r w:rsidR="2A54300D" w:rsidRPr="13D05368">
        <w:rPr>
          <w:rFonts w:eastAsia="Arial"/>
          <w:sz w:val="22"/>
        </w:rPr>
        <w:t xml:space="preserve">increase in the annualized </w:t>
      </w:r>
      <w:r w:rsidR="2B173E3C" w:rsidRPr="13D05368">
        <w:rPr>
          <w:rFonts w:eastAsia="Arial"/>
          <w:sz w:val="22"/>
        </w:rPr>
        <w:t>reported</w:t>
      </w:r>
      <w:r w:rsidR="0025393E" w:rsidRPr="13D05368">
        <w:rPr>
          <w:rFonts w:eastAsia="Arial"/>
          <w:sz w:val="22"/>
        </w:rPr>
        <w:t xml:space="preserve"> </w:t>
      </w:r>
      <w:r w:rsidR="2A54300D" w:rsidRPr="13D05368">
        <w:rPr>
          <w:rFonts w:eastAsia="Arial"/>
          <w:sz w:val="22"/>
        </w:rPr>
        <w:t>cost</w:t>
      </w:r>
      <w:r w:rsidR="3BAE2CEA" w:rsidRPr="13D05368">
        <w:rPr>
          <w:rFonts w:eastAsia="Arial"/>
          <w:sz w:val="22"/>
        </w:rPr>
        <w:t xml:space="preserve"> of special diets for FA management</w:t>
      </w:r>
      <w:r w:rsidR="576CBA3F" w:rsidRPr="13D05368">
        <w:rPr>
          <w:rFonts w:eastAsia="Arial"/>
          <w:sz w:val="22"/>
        </w:rPr>
        <w:t xml:space="preserve">. </w:t>
      </w:r>
      <w:r w:rsidR="00CF2F1A" w:rsidRPr="13D05368">
        <w:rPr>
          <w:rFonts w:eastAsia="Arial"/>
          <w:sz w:val="22"/>
        </w:rPr>
        <w:t xml:space="preserve">Reported mental health needs due to FA was associated with an increase in the annualized reported costs of special diets by approximately $2956 (95% CI: </w:t>
      </w:r>
      <w:r w:rsidR="009B2CB6" w:rsidRPr="13D05368">
        <w:rPr>
          <w:rFonts w:eastAsia="Arial"/>
          <w:sz w:val="22"/>
        </w:rPr>
        <w:t>$</w:t>
      </w:r>
      <w:r w:rsidR="00CF2F1A" w:rsidRPr="13D05368">
        <w:rPr>
          <w:rFonts w:eastAsia="Arial"/>
          <w:sz w:val="22"/>
        </w:rPr>
        <w:t xml:space="preserve">191, </w:t>
      </w:r>
      <w:r w:rsidR="009B2CB6" w:rsidRPr="13D05368">
        <w:rPr>
          <w:rFonts w:eastAsia="Arial"/>
          <w:sz w:val="22"/>
        </w:rPr>
        <w:t>$5721).</w:t>
      </w:r>
    </w:p>
    <w:p w14:paraId="3965D910" w14:textId="5B4B2540" w:rsidR="001836B0" w:rsidRDefault="001836B0" w:rsidP="13D05368">
      <w:pPr>
        <w:rPr>
          <w:rFonts w:eastAsia="Arial"/>
          <w:sz w:val="22"/>
        </w:rPr>
      </w:pPr>
    </w:p>
    <w:p w14:paraId="0273E35D" w14:textId="7E02BCE2" w:rsidR="001836B0" w:rsidRDefault="576CBA3F" w:rsidP="13D05368">
      <w:pPr>
        <w:rPr>
          <w:rFonts w:eastAsia="Arial"/>
          <w:sz w:val="22"/>
        </w:rPr>
      </w:pPr>
      <w:r w:rsidRPr="13D05368">
        <w:rPr>
          <w:rFonts w:eastAsia="Arial"/>
          <w:sz w:val="22"/>
        </w:rPr>
        <w:t xml:space="preserve">With respect to </w:t>
      </w:r>
      <w:r w:rsidR="00475EE4" w:rsidRPr="13D05368">
        <w:rPr>
          <w:rFonts w:eastAsia="Arial"/>
          <w:sz w:val="22"/>
        </w:rPr>
        <w:t>EAI</w:t>
      </w:r>
      <w:r w:rsidR="27C05E70" w:rsidRPr="13D05368">
        <w:rPr>
          <w:rFonts w:eastAsia="Arial"/>
          <w:sz w:val="22"/>
        </w:rPr>
        <w:t xml:space="preserve"> </w:t>
      </w:r>
      <w:r w:rsidRPr="13D05368">
        <w:rPr>
          <w:rFonts w:eastAsia="Arial"/>
          <w:sz w:val="22"/>
        </w:rPr>
        <w:t xml:space="preserve">costs, participants with household incomes of $100,000 - $200,000 were more likely to </w:t>
      </w:r>
      <w:r w:rsidR="0A114CF5" w:rsidRPr="13D05368">
        <w:rPr>
          <w:rFonts w:eastAsia="Arial"/>
          <w:sz w:val="22"/>
        </w:rPr>
        <w:t>report</w:t>
      </w:r>
      <w:r w:rsidRPr="13D05368">
        <w:rPr>
          <w:rFonts w:eastAsia="Arial"/>
          <w:sz w:val="22"/>
        </w:rPr>
        <w:t xml:space="preserve"> incur</w:t>
      </w:r>
      <w:r w:rsidR="6EA0849F" w:rsidRPr="13D05368">
        <w:rPr>
          <w:rFonts w:eastAsia="Arial"/>
          <w:sz w:val="22"/>
        </w:rPr>
        <w:t>ring</w:t>
      </w:r>
      <w:r w:rsidRPr="13D05368">
        <w:rPr>
          <w:rFonts w:eastAsia="Arial"/>
          <w:sz w:val="22"/>
        </w:rPr>
        <w:t xml:space="preserve"> an</w:t>
      </w:r>
      <w:r w:rsidR="2F1A2A57" w:rsidRPr="13D05368">
        <w:rPr>
          <w:rFonts w:eastAsia="Arial"/>
          <w:sz w:val="22"/>
        </w:rPr>
        <w:t>y</w:t>
      </w:r>
      <w:r w:rsidRPr="13D05368">
        <w:rPr>
          <w:rFonts w:eastAsia="Arial"/>
          <w:sz w:val="22"/>
        </w:rPr>
        <w:t xml:space="preserve"> </w:t>
      </w:r>
      <w:r w:rsidR="6D6A457E" w:rsidRPr="13D05368">
        <w:rPr>
          <w:rFonts w:eastAsia="Arial"/>
          <w:sz w:val="22"/>
        </w:rPr>
        <w:t>such</w:t>
      </w:r>
      <w:r w:rsidRPr="13D05368">
        <w:rPr>
          <w:rFonts w:eastAsia="Arial"/>
          <w:sz w:val="22"/>
        </w:rPr>
        <w:t xml:space="preserve"> OOP </w:t>
      </w:r>
      <w:r w:rsidR="7A4ED995" w:rsidRPr="13D05368">
        <w:rPr>
          <w:rFonts w:eastAsia="Arial"/>
          <w:sz w:val="22"/>
        </w:rPr>
        <w:t>cost (OR: 3.</w:t>
      </w:r>
      <w:r w:rsidR="00B177DB" w:rsidRPr="13D05368">
        <w:rPr>
          <w:rFonts w:eastAsia="Arial"/>
          <w:sz w:val="22"/>
        </w:rPr>
        <w:t>3</w:t>
      </w:r>
      <w:r w:rsidR="7A4ED995" w:rsidRPr="13D05368">
        <w:rPr>
          <w:rFonts w:eastAsia="Arial"/>
          <w:sz w:val="22"/>
        </w:rPr>
        <w:t xml:space="preserve">, 95% CI: 1.1, </w:t>
      </w:r>
      <w:r w:rsidR="00B177DB" w:rsidRPr="13D05368">
        <w:rPr>
          <w:rFonts w:eastAsia="Arial"/>
          <w:sz w:val="22"/>
        </w:rPr>
        <w:t>9.7</w:t>
      </w:r>
      <w:r w:rsidR="7A4ED995" w:rsidRPr="13D05368">
        <w:rPr>
          <w:rFonts w:eastAsia="Arial"/>
          <w:sz w:val="22"/>
        </w:rPr>
        <w:t>)</w:t>
      </w:r>
      <w:r w:rsidR="54223057" w:rsidRPr="13D05368">
        <w:rPr>
          <w:rFonts w:eastAsia="Arial"/>
          <w:sz w:val="22"/>
        </w:rPr>
        <w:t xml:space="preserve"> compared to households with incomes of </w:t>
      </w:r>
      <w:r w:rsidR="77221C53" w:rsidRPr="13D05368">
        <w:rPr>
          <w:rFonts w:eastAsia="Arial"/>
          <w:sz w:val="22"/>
        </w:rPr>
        <w:t>&lt; $100,00</w:t>
      </w:r>
      <w:r w:rsidR="703CE627" w:rsidRPr="13D05368">
        <w:rPr>
          <w:rFonts w:eastAsia="Arial"/>
          <w:sz w:val="22"/>
        </w:rPr>
        <w:t>0</w:t>
      </w:r>
      <w:r w:rsidR="697B8984" w:rsidRPr="13D05368">
        <w:rPr>
          <w:rFonts w:eastAsia="Arial"/>
          <w:sz w:val="22"/>
        </w:rPr>
        <w:t xml:space="preserve">. </w:t>
      </w:r>
      <w:r w:rsidR="5DADDEAC" w:rsidRPr="13D05368">
        <w:rPr>
          <w:rFonts w:eastAsia="Arial"/>
          <w:sz w:val="22"/>
        </w:rPr>
        <w:t xml:space="preserve">Similarly, participants with household incomes of $100,000 - $200,000 were more likely to incur an OOP cost for </w:t>
      </w:r>
      <w:r w:rsidR="4F936F9B" w:rsidRPr="13D05368">
        <w:rPr>
          <w:rFonts w:eastAsia="Arial"/>
          <w:sz w:val="22"/>
        </w:rPr>
        <w:t>antihistamines</w:t>
      </w:r>
      <w:r w:rsidR="5DADDEAC" w:rsidRPr="13D05368">
        <w:rPr>
          <w:rFonts w:eastAsia="Arial"/>
          <w:sz w:val="22"/>
        </w:rPr>
        <w:t xml:space="preserve"> (OR: 1.</w:t>
      </w:r>
      <w:r w:rsidR="00B177DB" w:rsidRPr="13D05368">
        <w:rPr>
          <w:rFonts w:eastAsia="Arial"/>
          <w:sz w:val="22"/>
        </w:rPr>
        <w:t>8</w:t>
      </w:r>
      <w:r w:rsidR="5DADDEAC" w:rsidRPr="13D05368">
        <w:rPr>
          <w:rFonts w:eastAsia="Arial"/>
          <w:sz w:val="22"/>
        </w:rPr>
        <w:t>, 95% CI: 1.</w:t>
      </w:r>
      <w:r w:rsidR="00B177DB" w:rsidRPr="13D05368">
        <w:rPr>
          <w:rFonts w:eastAsia="Arial"/>
          <w:sz w:val="22"/>
        </w:rPr>
        <w:t>6</w:t>
      </w:r>
      <w:r w:rsidR="5DADDEAC" w:rsidRPr="13D05368">
        <w:rPr>
          <w:rFonts w:eastAsia="Arial"/>
          <w:sz w:val="22"/>
        </w:rPr>
        <w:t>, 2.</w:t>
      </w:r>
      <w:r w:rsidR="00B177DB" w:rsidRPr="13D05368">
        <w:rPr>
          <w:rFonts w:eastAsia="Arial"/>
          <w:sz w:val="22"/>
        </w:rPr>
        <w:t>1</w:t>
      </w:r>
      <w:r w:rsidR="5DADDEAC" w:rsidRPr="13D05368">
        <w:rPr>
          <w:rFonts w:eastAsia="Arial"/>
          <w:sz w:val="22"/>
        </w:rPr>
        <w:t>)</w:t>
      </w:r>
      <w:r w:rsidR="4F936F9B" w:rsidRPr="13D05368">
        <w:rPr>
          <w:rFonts w:eastAsia="Arial"/>
          <w:sz w:val="22"/>
        </w:rPr>
        <w:t xml:space="preserve"> and each additional </w:t>
      </w:r>
      <w:r w:rsidR="321B3557" w:rsidRPr="13D05368">
        <w:rPr>
          <w:rFonts w:eastAsia="Arial"/>
          <w:sz w:val="22"/>
        </w:rPr>
        <w:t xml:space="preserve">current food </w:t>
      </w:r>
      <w:r w:rsidR="4F936F9B" w:rsidRPr="13D05368">
        <w:rPr>
          <w:rFonts w:eastAsia="Arial"/>
          <w:sz w:val="22"/>
        </w:rPr>
        <w:t xml:space="preserve">allergy was associated with a </w:t>
      </w:r>
      <w:r w:rsidR="00B177DB" w:rsidRPr="13D05368">
        <w:rPr>
          <w:rFonts w:eastAsia="Arial"/>
          <w:sz w:val="22"/>
        </w:rPr>
        <w:t>26</w:t>
      </w:r>
      <w:r w:rsidR="4F936F9B" w:rsidRPr="13D05368">
        <w:rPr>
          <w:rFonts w:eastAsia="Arial"/>
          <w:sz w:val="22"/>
        </w:rPr>
        <w:t xml:space="preserve">% increase in the </w:t>
      </w:r>
      <w:r w:rsidR="4F936F9B" w:rsidRPr="13D05368">
        <w:rPr>
          <w:rFonts w:eastAsia="Arial"/>
          <w:sz w:val="22"/>
        </w:rPr>
        <w:lastRenderedPageBreak/>
        <w:t xml:space="preserve">odds of </w:t>
      </w:r>
      <w:r w:rsidR="28E5615E" w:rsidRPr="13D05368">
        <w:rPr>
          <w:rFonts w:eastAsia="Arial"/>
          <w:sz w:val="22"/>
        </w:rPr>
        <w:t>reporting having incurred any</w:t>
      </w:r>
      <w:r w:rsidR="4F936F9B" w:rsidRPr="13D05368">
        <w:rPr>
          <w:rFonts w:eastAsia="Arial"/>
          <w:sz w:val="22"/>
        </w:rPr>
        <w:t xml:space="preserve"> OOP antihistamine cost</w:t>
      </w:r>
      <w:r w:rsidR="00B177DB" w:rsidRPr="13D05368">
        <w:rPr>
          <w:rFonts w:eastAsia="Arial"/>
          <w:sz w:val="22"/>
        </w:rPr>
        <w:t xml:space="preserve"> (OR: 1.26, 95% CI: 1.1, 1.4)</w:t>
      </w:r>
      <w:r w:rsidR="4F936F9B" w:rsidRPr="13D05368">
        <w:rPr>
          <w:rFonts w:eastAsia="Arial"/>
          <w:sz w:val="22"/>
        </w:rPr>
        <w:t>.</w:t>
      </w:r>
      <w:r w:rsidR="014E7F59" w:rsidRPr="13D05368">
        <w:rPr>
          <w:rFonts w:eastAsia="Arial"/>
          <w:sz w:val="22"/>
        </w:rPr>
        <w:t xml:space="preserve"> </w:t>
      </w:r>
      <w:r w:rsidR="000E1E20" w:rsidRPr="13D05368">
        <w:rPr>
          <w:rFonts w:eastAsia="Arial"/>
          <w:sz w:val="22"/>
        </w:rPr>
        <w:t xml:space="preserve">NHB participants were less likely to report incurring an </w:t>
      </w:r>
      <w:r w:rsidR="00092280" w:rsidRPr="13D05368">
        <w:rPr>
          <w:rFonts w:eastAsia="Arial"/>
          <w:sz w:val="22"/>
        </w:rPr>
        <w:t>OOP cost</w:t>
      </w:r>
      <w:r w:rsidR="000E1E20" w:rsidRPr="13D05368">
        <w:rPr>
          <w:rFonts w:eastAsia="Arial"/>
          <w:sz w:val="22"/>
        </w:rPr>
        <w:t xml:space="preserve"> for </w:t>
      </w:r>
      <w:r w:rsidR="006228FB" w:rsidRPr="13D05368">
        <w:rPr>
          <w:rFonts w:eastAsia="Arial"/>
          <w:sz w:val="22"/>
        </w:rPr>
        <w:t>antihistamines</w:t>
      </w:r>
      <w:r w:rsidR="000E1E20" w:rsidRPr="13D05368">
        <w:rPr>
          <w:rFonts w:eastAsia="Arial"/>
          <w:sz w:val="22"/>
        </w:rPr>
        <w:t xml:space="preserve"> compared to NHW participants (OR: 0.3, 95% CI: 0.1, 0.5). </w:t>
      </w:r>
      <w:r w:rsidR="014E7F59" w:rsidRPr="13D05368">
        <w:rPr>
          <w:rFonts w:eastAsia="Arial"/>
          <w:sz w:val="22"/>
        </w:rPr>
        <w:t>Finally,</w:t>
      </w:r>
      <w:r w:rsidR="4F2599C7" w:rsidRPr="13D05368">
        <w:rPr>
          <w:rFonts w:eastAsia="Arial"/>
          <w:sz w:val="22"/>
        </w:rPr>
        <w:t xml:space="preserve"> for each additional year of </w:t>
      </w:r>
      <w:r w:rsidR="15AAC00B" w:rsidRPr="13D05368">
        <w:rPr>
          <w:rFonts w:eastAsia="Arial"/>
          <w:sz w:val="22"/>
        </w:rPr>
        <w:t>the child’s age, the odds of</w:t>
      </w:r>
      <w:r w:rsidR="00810B81" w:rsidRPr="13D05368">
        <w:rPr>
          <w:rFonts w:eastAsia="Arial"/>
          <w:sz w:val="22"/>
        </w:rPr>
        <w:t xml:space="preserve"> a caregiver</w:t>
      </w:r>
      <w:r w:rsidR="15AAC00B" w:rsidRPr="13D05368">
        <w:rPr>
          <w:rFonts w:eastAsia="Arial"/>
          <w:sz w:val="22"/>
        </w:rPr>
        <w:t xml:space="preserve"> having missed a workday due to FA decreased by 10% (OR: 0.9, 95% CI: 0.9, 0.9). </w:t>
      </w:r>
      <w:r w:rsidR="5411741F" w:rsidRPr="13D05368">
        <w:rPr>
          <w:rFonts w:eastAsia="Arial"/>
          <w:sz w:val="22"/>
        </w:rPr>
        <w:t xml:space="preserve">Both needing to see a medical provider due to FA </w:t>
      </w:r>
      <w:r w:rsidR="51076800" w:rsidRPr="13D05368">
        <w:rPr>
          <w:rFonts w:eastAsia="Arial"/>
          <w:sz w:val="22"/>
        </w:rPr>
        <w:t>(</w:t>
      </w:r>
      <w:r w:rsidR="6F17AF91" w:rsidRPr="13D05368">
        <w:rPr>
          <w:rFonts w:eastAsia="Arial"/>
          <w:sz w:val="22"/>
        </w:rPr>
        <w:t>OR: 2.6, 95% CI: 1.4, 4.</w:t>
      </w:r>
      <w:r w:rsidR="009975CC" w:rsidRPr="13D05368">
        <w:rPr>
          <w:rFonts w:eastAsia="Arial"/>
          <w:sz w:val="22"/>
        </w:rPr>
        <w:t>8</w:t>
      </w:r>
      <w:r w:rsidR="6F17AF91" w:rsidRPr="13D05368">
        <w:rPr>
          <w:rFonts w:eastAsia="Arial"/>
          <w:sz w:val="22"/>
        </w:rPr>
        <w:t xml:space="preserve">) </w:t>
      </w:r>
      <w:r w:rsidR="5411741F" w:rsidRPr="13D05368">
        <w:rPr>
          <w:rFonts w:eastAsia="Arial"/>
          <w:sz w:val="22"/>
        </w:rPr>
        <w:t xml:space="preserve">and needing to see a mental health provider due to FA </w:t>
      </w:r>
      <w:r w:rsidR="6F17AF91" w:rsidRPr="13D05368">
        <w:rPr>
          <w:rFonts w:eastAsia="Arial"/>
          <w:sz w:val="22"/>
        </w:rPr>
        <w:t>(OR: 3.</w:t>
      </w:r>
      <w:r w:rsidR="009975CC" w:rsidRPr="13D05368">
        <w:rPr>
          <w:rFonts w:eastAsia="Arial"/>
          <w:sz w:val="22"/>
        </w:rPr>
        <w:t>8</w:t>
      </w:r>
      <w:r w:rsidR="6F17AF91" w:rsidRPr="13D05368">
        <w:rPr>
          <w:rFonts w:eastAsia="Arial"/>
          <w:sz w:val="22"/>
        </w:rPr>
        <w:t>, 95% CI: 1.</w:t>
      </w:r>
      <w:r w:rsidR="009975CC" w:rsidRPr="13D05368">
        <w:rPr>
          <w:rFonts w:eastAsia="Arial"/>
          <w:sz w:val="22"/>
        </w:rPr>
        <w:t>4</w:t>
      </w:r>
      <w:r w:rsidR="6F17AF91" w:rsidRPr="13D05368">
        <w:rPr>
          <w:rFonts w:eastAsia="Arial"/>
          <w:sz w:val="22"/>
        </w:rPr>
        <w:t>, 1</w:t>
      </w:r>
      <w:r w:rsidR="009975CC" w:rsidRPr="13D05368">
        <w:rPr>
          <w:rFonts w:eastAsia="Arial"/>
          <w:sz w:val="22"/>
        </w:rPr>
        <w:t>0.</w:t>
      </w:r>
      <w:r w:rsidR="6F17AF91" w:rsidRPr="13D05368">
        <w:rPr>
          <w:rFonts w:eastAsia="Arial"/>
          <w:sz w:val="22"/>
        </w:rPr>
        <w:t xml:space="preserve">2) </w:t>
      </w:r>
      <w:r w:rsidR="5411741F" w:rsidRPr="13D05368">
        <w:rPr>
          <w:rFonts w:eastAsia="Arial"/>
          <w:sz w:val="22"/>
        </w:rPr>
        <w:t xml:space="preserve">were </w:t>
      </w:r>
      <w:r w:rsidR="51076800" w:rsidRPr="13D05368">
        <w:rPr>
          <w:rFonts w:eastAsia="Arial"/>
          <w:sz w:val="22"/>
        </w:rPr>
        <w:t xml:space="preserve">associated with increased odds of </w:t>
      </w:r>
      <w:r w:rsidR="00B4150A" w:rsidRPr="13D05368">
        <w:rPr>
          <w:rFonts w:eastAsia="Arial"/>
          <w:sz w:val="22"/>
        </w:rPr>
        <w:t xml:space="preserve">the caregiver </w:t>
      </w:r>
      <w:r w:rsidR="51076800" w:rsidRPr="13D05368">
        <w:rPr>
          <w:rFonts w:eastAsia="Arial"/>
          <w:sz w:val="22"/>
        </w:rPr>
        <w:t>having missed a</w:t>
      </w:r>
      <w:r w:rsidR="488F5D78" w:rsidRPr="13D05368">
        <w:rPr>
          <w:rFonts w:eastAsia="Arial"/>
          <w:sz w:val="22"/>
        </w:rPr>
        <w:t>t least one</w:t>
      </w:r>
      <w:r w:rsidR="51076800" w:rsidRPr="13D05368">
        <w:rPr>
          <w:rFonts w:eastAsia="Arial"/>
          <w:sz w:val="22"/>
        </w:rPr>
        <w:t xml:space="preserve"> workday.</w:t>
      </w:r>
    </w:p>
    <w:p w14:paraId="332A24F1" w14:textId="77777777" w:rsidR="0069545C" w:rsidRDefault="0069545C" w:rsidP="13D05368">
      <w:pPr>
        <w:rPr>
          <w:rFonts w:eastAsia="Arial"/>
          <w:sz w:val="22"/>
        </w:rPr>
      </w:pPr>
    </w:p>
    <w:p w14:paraId="61CA3492" w14:textId="4D08ADE4" w:rsidR="0069545C" w:rsidRDefault="545ABD3F" w:rsidP="13D05368">
      <w:pPr>
        <w:rPr>
          <w:rFonts w:eastAsia="Arial"/>
          <w:sz w:val="22"/>
        </w:rPr>
      </w:pPr>
      <w:r w:rsidRPr="13D05368">
        <w:rPr>
          <w:rFonts w:eastAsia="Arial"/>
          <w:sz w:val="22"/>
        </w:rPr>
        <w:t>With respect to lifestyle and job-related changes, b</w:t>
      </w:r>
      <w:r w:rsidR="379BA54D" w:rsidRPr="13D05368">
        <w:rPr>
          <w:rFonts w:eastAsia="Arial"/>
          <w:sz w:val="22"/>
        </w:rPr>
        <w:t>oth</w:t>
      </w:r>
      <w:r w:rsidR="00F14D5C" w:rsidRPr="13D05368">
        <w:rPr>
          <w:rFonts w:eastAsia="Arial"/>
          <w:sz w:val="22"/>
        </w:rPr>
        <w:t xml:space="preserve"> needing</w:t>
      </w:r>
      <w:r w:rsidR="379BA54D" w:rsidRPr="13D05368">
        <w:rPr>
          <w:rFonts w:eastAsia="Arial"/>
          <w:sz w:val="22"/>
        </w:rPr>
        <w:t xml:space="preserve"> to see a medical provider </w:t>
      </w:r>
      <w:r w:rsidR="00F14D5C" w:rsidRPr="13D05368">
        <w:rPr>
          <w:rFonts w:eastAsia="Arial"/>
          <w:sz w:val="22"/>
        </w:rPr>
        <w:t xml:space="preserve">due to FA </w:t>
      </w:r>
      <w:r w:rsidR="379BA54D" w:rsidRPr="13D05368">
        <w:rPr>
          <w:rFonts w:eastAsia="Arial"/>
          <w:sz w:val="22"/>
        </w:rPr>
        <w:t>(OR: 2.0, 95% CI: 1.5, 2.</w:t>
      </w:r>
      <w:r w:rsidR="007F03B7" w:rsidRPr="13D05368">
        <w:rPr>
          <w:rFonts w:eastAsia="Arial"/>
          <w:sz w:val="22"/>
        </w:rPr>
        <w:t>8</w:t>
      </w:r>
      <w:r w:rsidR="379BA54D" w:rsidRPr="13D05368">
        <w:rPr>
          <w:rFonts w:eastAsia="Arial"/>
          <w:sz w:val="22"/>
        </w:rPr>
        <w:t xml:space="preserve">) and having to see a nutrition provider </w:t>
      </w:r>
      <w:r w:rsidR="009975CC" w:rsidRPr="13D05368">
        <w:rPr>
          <w:rFonts w:eastAsia="Arial"/>
          <w:sz w:val="22"/>
        </w:rPr>
        <w:t xml:space="preserve">due to FA </w:t>
      </w:r>
      <w:r w:rsidR="379BA54D" w:rsidRPr="13D05368">
        <w:rPr>
          <w:rFonts w:eastAsia="Arial"/>
          <w:sz w:val="22"/>
        </w:rPr>
        <w:t xml:space="preserve">(OR: 2.3, 95% </w:t>
      </w:r>
      <w:r w:rsidR="29265DF6" w:rsidRPr="13D05368">
        <w:rPr>
          <w:rFonts w:eastAsia="Arial"/>
          <w:sz w:val="22"/>
        </w:rPr>
        <w:t>CI</w:t>
      </w:r>
      <w:r w:rsidR="379BA54D" w:rsidRPr="13D05368">
        <w:rPr>
          <w:rFonts w:eastAsia="Arial"/>
          <w:sz w:val="22"/>
        </w:rPr>
        <w:t>: 1.3, 4.</w:t>
      </w:r>
      <w:r w:rsidR="00103139" w:rsidRPr="13D05368">
        <w:rPr>
          <w:rFonts w:eastAsia="Arial"/>
          <w:sz w:val="22"/>
        </w:rPr>
        <w:t>1</w:t>
      </w:r>
      <w:r w:rsidR="379BA54D" w:rsidRPr="13D05368">
        <w:rPr>
          <w:rFonts w:eastAsia="Arial"/>
          <w:sz w:val="22"/>
        </w:rPr>
        <w:t>) were associated with an increased odds of reporting a lifestyle change</w:t>
      </w:r>
      <w:r w:rsidR="00671135">
        <w:rPr>
          <w:rFonts w:eastAsia="Arial"/>
          <w:sz w:val="22"/>
        </w:rPr>
        <w:t xml:space="preserve"> (see Table 4)</w:t>
      </w:r>
      <w:r w:rsidR="379BA54D" w:rsidRPr="13D05368">
        <w:rPr>
          <w:rFonts w:eastAsia="Arial"/>
          <w:sz w:val="22"/>
        </w:rPr>
        <w:t>.</w:t>
      </w:r>
      <w:r w:rsidR="2FEF54F7" w:rsidRPr="13D05368">
        <w:rPr>
          <w:rFonts w:eastAsia="Arial"/>
          <w:sz w:val="22"/>
        </w:rPr>
        <w:t xml:space="preserve"> </w:t>
      </w:r>
      <w:r w:rsidR="74E1D186" w:rsidRPr="13D05368">
        <w:rPr>
          <w:rFonts w:eastAsia="Arial"/>
          <w:sz w:val="22"/>
        </w:rPr>
        <w:t xml:space="preserve">These two needs were also associated with increased odds of reporting a work-related change (OR: </w:t>
      </w:r>
      <w:r w:rsidR="0B22CDD0" w:rsidRPr="13D05368">
        <w:rPr>
          <w:rFonts w:eastAsia="Arial"/>
          <w:sz w:val="22"/>
        </w:rPr>
        <w:t>1.5, 95% CI: 1.0, 2.2) and (OR: 2.0, 95% CI: 1.</w:t>
      </w:r>
      <w:r w:rsidR="00FA165A" w:rsidRPr="13D05368">
        <w:rPr>
          <w:rFonts w:eastAsia="Arial"/>
          <w:sz w:val="22"/>
        </w:rPr>
        <w:t>1</w:t>
      </w:r>
      <w:r w:rsidR="0B22CDD0" w:rsidRPr="13D05368">
        <w:rPr>
          <w:rFonts w:eastAsia="Arial"/>
          <w:sz w:val="22"/>
        </w:rPr>
        <w:t>, 3.3)</w:t>
      </w:r>
      <w:r w:rsidR="00FA165A" w:rsidRPr="13D05368">
        <w:rPr>
          <w:rFonts w:eastAsia="Arial"/>
          <w:sz w:val="22"/>
        </w:rPr>
        <w:t>.</w:t>
      </w:r>
      <w:r w:rsidR="29265DF6" w:rsidRPr="13D05368">
        <w:rPr>
          <w:rFonts w:eastAsia="Arial"/>
          <w:sz w:val="22"/>
        </w:rPr>
        <w:t xml:space="preserve"> </w:t>
      </w:r>
      <w:r w:rsidR="650F0182" w:rsidRPr="13D05368">
        <w:rPr>
          <w:rFonts w:eastAsia="Arial"/>
          <w:sz w:val="22"/>
        </w:rPr>
        <w:t xml:space="preserve">Finally, </w:t>
      </w:r>
      <w:r w:rsidR="07F238CC" w:rsidRPr="13D05368">
        <w:rPr>
          <w:rFonts w:eastAsia="Arial"/>
          <w:sz w:val="22"/>
        </w:rPr>
        <w:t xml:space="preserve">households with </w:t>
      </w:r>
      <w:r w:rsidR="0E4CD39A" w:rsidRPr="13D05368">
        <w:rPr>
          <w:rFonts w:eastAsia="Arial"/>
          <w:sz w:val="22"/>
        </w:rPr>
        <w:t>an income</w:t>
      </w:r>
      <w:r w:rsidR="07F238CC" w:rsidRPr="13D05368">
        <w:rPr>
          <w:rFonts w:eastAsia="Arial"/>
          <w:sz w:val="22"/>
        </w:rPr>
        <w:t xml:space="preserve"> between $100,000 - $200,000 </w:t>
      </w:r>
      <w:r w:rsidR="0E4CD39A" w:rsidRPr="13D05368">
        <w:rPr>
          <w:rFonts w:eastAsia="Arial"/>
          <w:sz w:val="22"/>
        </w:rPr>
        <w:t>(OR: 0.</w:t>
      </w:r>
      <w:r w:rsidR="00D866C4" w:rsidRPr="13D05368">
        <w:rPr>
          <w:rFonts w:eastAsia="Arial"/>
          <w:sz w:val="22"/>
        </w:rPr>
        <w:t>1</w:t>
      </w:r>
      <w:r w:rsidR="0E4CD39A" w:rsidRPr="13D05368">
        <w:rPr>
          <w:rFonts w:eastAsia="Arial"/>
          <w:sz w:val="22"/>
        </w:rPr>
        <w:t>, 95% CI: 0.0, 0.</w:t>
      </w:r>
      <w:r w:rsidR="00D866C4" w:rsidRPr="13D05368">
        <w:rPr>
          <w:rFonts w:eastAsia="Arial"/>
          <w:sz w:val="22"/>
        </w:rPr>
        <w:t>5</w:t>
      </w:r>
      <w:r w:rsidR="0E4CD39A" w:rsidRPr="13D05368">
        <w:rPr>
          <w:rFonts w:eastAsia="Arial"/>
          <w:sz w:val="22"/>
        </w:rPr>
        <w:t>) and an income of greater than $200,000 (OR: 0.</w:t>
      </w:r>
      <w:r w:rsidR="03B717EF" w:rsidRPr="13D05368">
        <w:rPr>
          <w:rFonts w:eastAsia="Arial"/>
          <w:sz w:val="22"/>
        </w:rPr>
        <w:t>1, 95% CI: 0.</w:t>
      </w:r>
      <w:r w:rsidR="00D866C4" w:rsidRPr="13D05368">
        <w:rPr>
          <w:rFonts w:eastAsia="Arial"/>
          <w:sz w:val="22"/>
        </w:rPr>
        <w:t>0</w:t>
      </w:r>
      <w:r w:rsidR="03B717EF" w:rsidRPr="13D05368">
        <w:rPr>
          <w:rFonts w:eastAsia="Arial"/>
          <w:sz w:val="22"/>
        </w:rPr>
        <w:t>, 0.3) had significantly lower odds of worrying about running out of food</w:t>
      </w:r>
      <w:r w:rsidR="7818E956" w:rsidRPr="13D05368">
        <w:rPr>
          <w:rFonts w:eastAsia="Arial"/>
          <w:sz w:val="22"/>
        </w:rPr>
        <w:t xml:space="preserve"> compared to those households with income less than $100,000</w:t>
      </w:r>
      <w:r w:rsidR="03B717EF" w:rsidRPr="13D05368">
        <w:rPr>
          <w:rFonts w:eastAsia="Arial"/>
          <w:sz w:val="22"/>
        </w:rPr>
        <w:t xml:space="preserve">. </w:t>
      </w:r>
      <w:r w:rsidR="27C32E58" w:rsidRPr="13D05368">
        <w:rPr>
          <w:rFonts w:eastAsia="Arial"/>
          <w:sz w:val="22"/>
        </w:rPr>
        <w:t>Controll</w:t>
      </w:r>
      <w:r w:rsidR="037FEAF5" w:rsidRPr="13D05368">
        <w:rPr>
          <w:rFonts w:eastAsia="Arial"/>
          <w:sz w:val="22"/>
        </w:rPr>
        <w:t>ing</w:t>
      </w:r>
      <w:r w:rsidR="27C32E58" w:rsidRPr="13D05368">
        <w:rPr>
          <w:rFonts w:eastAsia="Arial"/>
          <w:sz w:val="22"/>
        </w:rPr>
        <w:t xml:space="preserve"> for income</w:t>
      </w:r>
      <w:r w:rsidR="1DAD5C26" w:rsidRPr="13D05368">
        <w:rPr>
          <w:rFonts w:eastAsia="Arial"/>
          <w:sz w:val="22"/>
        </w:rPr>
        <w:t xml:space="preserve"> and other relevant covariates</w:t>
      </w:r>
      <w:r w:rsidR="27C32E58" w:rsidRPr="13D05368">
        <w:rPr>
          <w:rFonts w:eastAsia="Arial"/>
          <w:sz w:val="22"/>
        </w:rPr>
        <w:t xml:space="preserve">, NHB </w:t>
      </w:r>
      <w:r w:rsidR="60CFCC93" w:rsidRPr="13D05368">
        <w:rPr>
          <w:rFonts w:eastAsia="Arial"/>
          <w:sz w:val="22"/>
        </w:rPr>
        <w:t>participants</w:t>
      </w:r>
      <w:r w:rsidR="27C32E58" w:rsidRPr="13D05368">
        <w:rPr>
          <w:rFonts w:eastAsia="Arial"/>
          <w:sz w:val="22"/>
        </w:rPr>
        <w:t xml:space="preserve"> (OR: 5.</w:t>
      </w:r>
      <w:r w:rsidR="00D866C4" w:rsidRPr="13D05368">
        <w:rPr>
          <w:rFonts w:eastAsia="Arial"/>
          <w:sz w:val="22"/>
        </w:rPr>
        <w:t>5,</w:t>
      </w:r>
      <w:r w:rsidR="27C32E58" w:rsidRPr="13D05368">
        <w:rPr>
          <w:rFonts w:eastAsia="Arial"/>
          <w:sz w:val="22"/>
        </w:rPr>
        <w:t xml:space="preserve"> 95% CI: 2.</w:t>
      </w:r>
      <w:r w:rsidR="00D866C4" w:rsidRPr="13D05368">
        <w:rPr>
          <w:rFonts w:eastAsia="Arial"/>
          <w:sz w:val="22"/>
        </w:rPr>
        <w:t>3</w:t>
      </w:r>
      <w:r w:rsidR="27C32E58" w:rsidRPr="13D05368">
        <w:rPr>
          <w:rFonts w:eastAsia="Arial"/>
          <w:sz w:val="22"/>
        </w:rPr>
        <w:t>, 1</w:t>
      </w:r>
      <w:r w:rsidR="00D866C4" w:rsidRPr="13D05368">
        <w:rPr>
          <w:rFonts w:eastAsia="Arial"/>
          <w:sz w:val="22"/>
        </w:rPr>
        <w:t>3.1</w:t>
      </w:r>
      <w:r w:rsidR="27C32E58" w:rsidRPr="13D05368">
        <w:rPr>
          <w:rFonts w:eastAsia="Arial"/>
          <w:sz w:val="22"/>
        </w:rPr>
        <w:t>) and H/L participants (OR: 16</w:t>
      </w:r>
      <w:r w:rsidR="00D866C4" w:rsidRPr="13D05368">
        <w:rPr>
          <w:rFonts w:eastAsia="Arial"/>
          <w:sz w:val="22"/>
        </w:rPr>
        <w:t>.4</w:t>
      </w:r>
      <w:r w:rsidR="27C32E58" w:rsidRPr="13D05368">
        <w:rPr>
          <w:rFonts w:eastAsia="Arial"/>
          <w:sz w:val="22"/>
        </w:rPr>
        <w:t>, 95% CI: 4.</w:t>
      </w:r>
      <w:r w:rsidR="00D866C4" w:rsidRPr="13D05368">
        <w:rPr>
          <w:rFonts w:eastAsia="Arial"/>
          <w:sz w:val="22"/>
        </w:rPr>
        <w:t>3</w:t>
      </w:r>
      <w:r w:rsidR="27C32E58" w:rsidRPr="13D05368">
        <w:rPr>
          <w:rFonts w:eastAsia="Arial"/>
          <w:sz w:val="22"/>
        </w:rPr>
        <w:t xml:space="preserve">, </w:t>
      </w:r>
      <w:r w:rsidR="00D866C4" w:rsidRPr="13D05368">
        <w:rPr>
          <w:rFonts w:eastAsia="Arial"/>
          <w:sz w:val="22"/>
        </w:rPr>
        <w:t>63.2</w:t>
      </w:r>
      <w:r w:rsidR="27C32E58" w:rsidRPr="13D05368">
        <w:rPr>
          <w:rFonts w:eastAsia="Arial"/>
          <w:sz w:val="22"/>
        </w:rPr>
        <w:t xml:space="preserve">) </w:t>
      </w:r>
      <w:r w:rsidR="646E281E" w:rsidRPr="13D05368">
        <w:rPr>
          <w:rFonts w:eastAsia="Arial"/>
          <w:sz w:val="22"/>
        </w:rPr>
        <w:t xml:space="preserve">were </w:t>
      </w:r>
      <w:r w:rsidR="2C375EAC" w:rsidRPr="13D05368">
        <w:rPr>
          <w:rFonts w:eastAsia="Arial"/>
          <w:sz w:val="22"/>
        </w:rPr>
        <w:t>significantly</w:t>
      </w:r>
      <w:r w:rsidR="646E281E" w:rsidRPr="13D05368">
        <w:rPr>
          <w:rFonts w:eastAsia="Arial"/>
          <w:sz w:val="22"/>
        </w:rPr>
        <w:t xml:space="preserve"> more worried about running out of food compared to NHW participants. Similarly, </w:t>
      </w:r>
      <w:r w:rsidR="2C375EAC" w:rsidRPr="13D05368">
        <w:rPr>
          <w:rFonts w:eastAsia="Arial"/>
          <w:sz w:val="22"/>
        </w:rPr>
        <w:t>households</w:t>
      </w:r>
      <w:r w:rsidR="646E281E" w:rsidRPr="13D05368">
        <w:rPr>
          <w:rFonts w:eastAsia="Arial"/>
          <w:sz w:val="22"/>
        </w:rPr>
        <w:t xml:space="preserve"> with an income of greater than $200,000 </w:t>
      </w:r>
      <w:r w:rsidR="7818E956" w:rsidRPr="13D05368">
        <w:rPr>
          <w:rFonts w:eastAsia="Arial"/>
          <w:sz w:val="22"/>
        </w:rPr>
        <w:t>had significantly lower odds of food not lasting (OR: 0.</w:t>
      </w:r>
      <w:r w:rsidR="00A42DCF" w:rsidRPr="13D05368">
        <w:rPr>
          <w:rFonts w:eastAsia="Arial"/>
          <w:sz w:val="22"/>
        </w:rPr>
        <w:t>1</w:t>
      </w:r>
      <w:r w:rsidR="7818E956" w:rsidRPr="13D05368">
        <w:rPr>
          <w:rFonts w:eastAsia="Arial"/>
          <w:sz w:val="22"/>
        </w:rPr>
        <w:t>, 95% CI: 0.1, 0.3)</w:t>
      </w:r>
      <w:r w:rsidR="60CFCC93" w:rsidRPr="13D05368">
        <w:rPr>
          <w:rFonts w:eastAsia="Arial"/>
          <w:sz w:val="22"/>
        </w:rPr>
        <w:t>.</w:t>
      </w:r>
    </w:p>
    <w:p w14:paraId="4AC32726" w14:textId="77777777" w:rsidR="009B44D3" w:rsidRDefault="009B44D3" w:rsidP="13D05368">
      <w:pPr>
        <w:rPr>
          <w:rFonts w:eastAsia="Arial"/>
          <w:sz w:val="22"/>
        </w:rPr>
      </w:pPr>
    </w:p>
    <w:p w14:paraId="19B92CB7" w14:textId="5C362D06" w:rsidR="009B44D3" w:rsidRDefault="002A2946" w:rsidP="13D05368">
      <w:pPr>
        <w:rPr>
          <w:rFonts w:eastAsia="Arial"/>
          <w:b/>
          <w:bCs/>
          <w:sz w:val="22"/>
        </w:rPr>
      </w:pPr>
      <w:r w:rsidRPr="13D05368">
        <w:rPr>
          <w:rFonts w:eastAsia="Arial"/>
          <w:b/>
          <w:bCs/>
          <w:sz w:val="22"/>
        </w:rPr>
        <w:t xml:space="preserve">Discussion: </w:t>
      </w:r>
    </w:p>
    <w:p w14:paraId="04836C60" w14:textId="77777777" w:rsidR="00D85A3F" w:rsidRDefault="00D85A3F" w:rsidP="13D05368">
      <w:pPr>
        <w:rPr>
          <w:rFonts w:eastAsia="Arial"/>
          <w:sz w:val="22"/>
        </w:rPr>
      </w:pPr>
    </w:p>
    <w:p w14:paraId="51999F3A" w14:textId="6B318D7A" w:rsidR="00077F24" w:rsidRDefault="048C6ABA" w:rsidP="13D05368">
      <w:pPr>
        <w:rPr>
          <w:rFonts w:eastAsia="Arial"/>
          <w:sz w:val="22"/>
        </w:rPr>
      </w:pPr>
      <w:r w:rsidRPr="13D05368">
        <w:rPr>
          <w:rFonts w:eastAsia="Arial"/>
          <w:sz w:val="22"/>
        </w:rPr>
        <w:t xml:space="preserve">In this study of a </w:t>
      </w:r>
      <w:r w:rsidR="6508FC3D" w:rsidRPr="13D05368">
        <w:rPr>
          <w:rFonts w:eastAsia="Arial"/>
          <w:sz w:val="22"/>
        </w:rPr>
        <w:t>racially, ethnically, socioeconomically, and geographically</w:t>
      </w:r>
      <w:r w:rsidR="13E702D7" w:rsidRPr="13D05368">
        <w:rPr>
          <w:rFonts w:eastAsia="Arial"/>
          <w:sz w:val="22"/>
        </w:rPr>
        <w:t xml:space="preserve"> </w:t>
      </w:r>
      <w:r w:rsidRPr="13D05368">
        <w:rPr>
          <w:rFonts w:eastAsia="Arial"/>
          <w:sz w:val="22"/>
        </w:rPr>
        <w:t>diverse, food-allergic cohort, we found that there were multiple differences in the economic burden and consequences of childhood FA by race an</w:t>
      </w:r>
      <w:r w:rsidR="33067942" w:rsidRPr="13D05368">
        <w:rPr>
          <w:rFonts w:eastAsia="Arial"/>
          <w:sz w:val="22"/>
        </w:rPr>
        <w:t>d ethnicity</w:t>
      </w:r>
      <w:r w:rsidR="00373AB9" w:rsidRPr="13D05368">
        <w:rPr>
          <w:rFonts w:eastAsia="Arial"/>
          <w:sz w:val="22"/>
        </w:rPr>
        <w:t xml:space="preserve"> and socioeconomic status</w:t>
      </w:r>
      <w:r w:rsidR="33067942" w:rsidRPr="13D05368">
        <w:rPr>
          <w:rFonts w:eastAsia="Arial"/>
          <w:sz w:val="22"/>
        </w:rPr>
        <w:t xml:space="preserve">. </w:t>
      </w:r>
    </w:p>
    <w:p w14:paraId="3EFFFFF4" w14:textId="5C60E067" w:rsidR="28A1D478" w:rsidRDefault="28A1D478" w:rsidP="13D05368">
      <w:pPr>
        <w:rPr>
          <w:rFonts w:eastAsia="Arial"/>
          <w:sz w:val="22"/>
        </w:rPr>
      </w:pPr>
    </w:p>
    <w:p w14:paraId="620FBA14" w14:textId="7F12F92A" w:rsidR="00383DB5" w:rsidRDefault="084F1B8D" w:rsidP="13D05368">
      <w:pPr>
        <w:rPr>
          <w:rFonts w:eastAsia="Arial"/>
          <w:sz w:val="22"/>
        </w:rPr>
      </w:pPr>
      <w:r w:rsidRPr="13D05368">
        <w:rPr>
          <w:rFonts w:eastAsia="Arial"/>
          <w:sz w:val="22"/>
        </w:rPr>
        <w:t>We f</w:t>
      </w:r>
      <w:r w:rsidR="10EBAF5E" w:rsidRPr="13D05368">
        <w:rPr>
          <w:rFonts w:eastAsia="Arial"/>
          <w:sz w:val="22"/>
        </w:rPr>
        <w:t>ound that m</w:t>
      </w:r>
      <w:r w:rsidR="6BC38D95" w:rsidRPr="13D05368">
        <w:rPr>
          <w:rFonts w:eastAsia="Arial"/>
          <w:sz w:val="22"/>
        </w:rPr>
        <w:t>ore than one-third of this cohort incurred additional costs associated with a special diet and allerg</w:t>
      </w:r>
      <w:r w:rsidR="3B846E4A" w:rsidRPr="13D05368">
        <w:rPr>
          <w:rFonts w:eastAsia="Arial"/>
          <w:sz w:val="22"/>
        </w:rPr>
        <w:t>en</w:t>
      </w:r>
      <w:r w:rsidR="6BC38D95" w:rsidRPr="13D05368">
        <w:rPr>
          <w:rFonts w:eastAsia="Arial"/>
          <w:sz w:val="22"/>
        </w:rPr>
        <w:t xml:space="preserve">-free foods, amounting to almost $3,000 dollars </w:t>
      </w:r>
      <w:r w:rsidR="5A64C533" w:rsidRPr="13D05368">
        <w:rPr>
          <w:rFonts w:eastAsia="Arial"/>
          <w:sz w:val="22"/>
        </w:rPr>
        <w:t>per child per year</w:t>
      </w:r>
      <w:r w:rsidR="3152E368" w:rsidRPr="13D05368">
        <w:rPr>
          <w:rFonts w:eastAsia="Arial"/>
          <w:sz w:val="22"/>
        </w:rPr>
        <w:t xml:space="preserve"> and </w:t>
      </w:r>
      <w:r w:rsidR="1BE08B26" w:rsidRPr="13D05368">
        <w:rPr>
          <w:rFonts w:eastAsia="Arial"/>
          <w:sz w:val="22"/>
        </w:rPr>
        <w:t xml:space="preserve">each additional </w:t>
      </w:r>
      <w:r w:rsidR="44C6A315" w:rsidRPr="13D05368">
        <w:rPr>
          <w:rFonts w:eastAsia="Arial"/>
          <w:sz w:val="22"/>
        </w:rPr>
        <w:t xml:space="preserve">current </w:t>
      </w:r>
      <w:r w:rsidR="1BE08B26" w:rsidRPr="13D05368">
        <w:rPr>
          <w:rFonts w:eastAsia="Arial"/>
          <w:sz w:val="22"/>
        </w:rPr>
        <w:t xml:space="preserve">FA </w:t>
      </w:r>
      <w:r w:rsidR="14A97002" w:rsidRPr="13D05368">
        <w:rPr>
          <w:rFonts w:eastAsia="Arial"/>
          <w:sz w:val="22"/>
        </w:rPr>
        <w:t xml:space="preserve">added approximately $300 to the </w:t>
      </w:r>
      <w:r w:rsidR="1182300A" w:rsidRPr="13D05368">
        <w:rPr>
          <w:rFonts w:eastAsia="Arial"/>
          <w:sz w:val="22"/>
        </w:rPr>
        <w:t>respondent’s</w:t>
      </w:r>
      <w:r w:rsidR="14A97002" w:rsidRPr="13D05368">
        <w:rPr>
          <w:rFonts w:eastAsia="Arial"/>
          <w:sz w:val="22"/>
        </w:rPr>
        <w:t xml:space="preserve"> annual </w:t>
      </w:r>
      <w:r w:rsidR="5A0FD63B" w:rsidRPr="13D05368">
        <w:rPr>
          <w:rFonts w:eastAsia="Arial"/>
          <w:sz w:val="22"/>
        </w:rPr>
        <w:t>OOP</w:t>
      </w:r>
      <w:r w:rsidR="14A97002" w:rsidRPr="13D05368">
        <w:rPr>
          <w:rFonts w:eastAsia="Arial"/>
          <w:sz w:val="22"/>
        </w:rPr>
        <w:t xml:space="preserve"> cost</w:t>
      </w:r>
      <w:r w:rsidR="4C967D58" w:rsidRPr="13D05368">
        <w:rPr>
          <w:rFonts w:eastAsia="Arial"/>
          <w:sz w:val="22"/>
        </w:rPr>
        <w:t>.</w:t>
      </w:r>
      <w:r w:rsidR="0EDD5CC7" w:rsidRPr="13D05368">
        <w:rPr>
          <w:rFonts w:eastAsia="Arial"/>
          <w:sz w:val="22"/>
        </w:rPr>
        <w:t xml:space="preserve"> </w:t>
      </w:r>
      <w:r w:rsidR="5365A130" w:rsidRPr="13D05368">
        <w:rPr>
          <w:rFonts w:eastAsia="Arial"/>
          <w:sz w:val="22"/>
        </w:rPr>
        <w:t>Our estimates reflect a significant increase in the reported diet-associated costs</w:t>
      </w:r>
      <w:r w:rsidR="5275A7A7" w:rsidRPr="13D05368">
        <w:rPr>
          <w:rFonts w:eastAsia="Arial"/>
          <w:sz w:val="22"/>
        </w:rPr>
        <w:t xml:space="preserve"> and </w:t>
      </w:r>
      <w:r w:rsidR="457A26A9" w:rsidRPr="13D05368">
        <w:rPr>
          <w:rFonts w:eastAsia="Arial"/>
          <w:sz w:val="22"/>
        </w:rPr>
        <w:t>demonstrate</w:t>
      </w:r>
      <w:r w:rsidR="5275A7A7" w:rsidRPr="13D05368">
        <w:rPr>
          <w:rFonts w:eastAsia="Arial"/>
          <w:sz w:val="22"/>
        </w:rPr>
        <w:t xml:space="preserve"> that the category remains the most significant driver of OOP costs for caregivers of children with FA.</w:t>
      </w:r>
      <w:r w:rsidR="00321027">
        <w:fldChar w:fldCharType="begin"/>
      </w:r>
      <w:r w:rsidR="00B51403">
        <w:instrText xml:space="preserve"> ADDIN ZOTERO_ITEM CSL_CITATION {"citationID":"ewjHkDf5","properties":{"formattedCitation":"\\super 1\\nosupersub{}","plainCitation":"1","noteIndex":0},"citationItems":[{"id":1558,"uris":["http://zotero.org/users/4977456/items/FJ9WIEPT"],"itemData":{"id":1558,"type":"article-journal","abstract":"IMPORTANCE: Describing the economic impact of childhood food allergy in the United States is important to guide public health policies.\nOBJECTIVE: To determine the economic impact of childhood food allergy in the United States and caregivers' willingness to pay for food allergy treatment.\nDESIGN, SETTING, AND PARTICIPANTS: A cross-sectional survey was conducted from November 28, 2011, through January 26, 2012. A representative sample of 1643 US caregivers of a child with a current food allergy were recruited for participation.\nMAIN OUTCOMES AND MEASURES: Caregivers of children with food allergies were asked to quantify the direct medical, out-of-pocket, lost labor productivity, and related opportunity costs. As an alternative valuation approach, caregivers were asked their willingness to pay for an effective food allergy treatment.\nRESULTS: The overall economic cost of food allergy was estimated at $24.8 (95% CI, $20.6-$29.4) billion annually ($4184 per year per child). Direct medical costs were $4.3 (95% CI, $2.8-$6.3) billion annually, including clinician visits, emergency department visits, and hospitalizations. Costs borne by the family totaled $20.5 billion annually, including lost labor productivity, out-of-pocket, and opportunity costs. Lost labor productivity costs totaled $0.77 (95% CI, $0.53-$1.0) billion annually, accounting for caregiver time off work for medical visits. Out-of-pocket costs were $5.5 (95% CI, $4.7-$6.4) billion annually, with 31% stemming from the cost of special foods. Opportunity costs totaled $14.2 (95% CI, $10.5-$18.4) billion annually, relating to a caregiver needing to leave or change jobs. Caregivers reported a willingness to pay of $20.8 billion annually ($3504 per year per child) for food allergy treatment.\nCONCLUSIONS AND RELEVANCE: Childhood food allergy results in significant direct medical costs for the US health care system and even larger costs for families with a food-allergic child.","container-title":"JAMA pediatrics","DOI":"10.1001/jamapediatrics.2013.2376","ISSN":"2168-6211","issue":"11","journalAbbreviation":"JAMA Pediatr","language":"eng","note":"PMID: 24042236","page":"1026-1031","source":"PubMed","title":"The economic impact of childhood food allergy in the United States","volume":"167","author":[{"family":"Gupta","given":"Ruchi"},{"family":"Holdford","given":"David"},{"family":"Bilaver","given":"Lucy"},{"family":"Dyer","given":"Ashley"},{"family":"Holl","given":"Jane L."},{"family":"Meltzer","given":"David"}],"issued":{"date-parts":[["2013",11]]}}}],"schema":"https://github.com/citation-style-language/schema/raw/master/csl-citation.json"} </w:instrText>
      </w:r>
      <w:r w:rsidR="00321027">
        <w:fldChar w:fldCharType="separate"/>
      </w:r>
      <w:r w:rsidR="49D41C66" w:rsidRPr="13D05368">
        <w:rPr>
          <w:rFonts w:eastAsia="Arial"/>
          <w:kern w:val="0"/>
          <w:sz w:val="22"/>
          <w:vertAlign w:val="superscript"/>
        </w:rPr>
        <w:t>1</w:t>
      </w:r>
      <w:r w:rsidR="00321027">
        <w:fldChar w:fldCharType="end"/>
      </w:r>
      <w:r w:rsidR="7F2AD55F" w:rsidRPr="13D05368">
        <w:rPr>
          <w:rFonts w:eastAsia="Arial"/>
          <w:sz w:val="22"/>
        </w:rPr>
        <w:t xml:space="preserve"> </w:t>
      </w:r>
      <w:r w:rsidR="788873F7" w:rsidRPr="13D05368">
        <w:rPr>
          <w:rFonts w:eastAsia="Arial"/>
          <w:sz w:val="22"/>
        </w:rPr>
        <w:t>Given</w:t>
      </w:r>
      <w:r w:rsidR="6F2C0BC5" w:rsidRPr="13D05368">
        <w:rPr>
          <w:rFonts w:eastAsia="Arial"/>
          <w:sz w:val="22"/>
        </w:rPr>
        <w:t xml:space="preserve"> that NHB </w:t>
      </w:r>
      <w:r w:rsidR="6F132ED4" w:rsidRPr="13D05368">
        <w:rPr>
          <w:rFonts w:eastAsia="Arial"/>
          <w:sz w:val="22"/>
        </w:rPr>
        <w:t xml:space="preserve">and H/L </w:t>
      </w:r>
      <w:r w:rsidR="6F2C0BC5" w:rsidRPr="13D05368">
        <w:rPr>
          <w:rFonts w:eastAsia="Arial"/>
          <w:sz w:val="22"/>
        </w:rPr>
        <w:t xml:space="preserve">children are known to </w:t>
      </w:r>
      <w:r w:rsidR="6F2FE387" w:rsidRPr="13D05368">
        <w:rPr>
          <w:rFonts w:eastAsia="Arial"/>
          <w:sz w:val="22"/>
        </w:rPr>
        <w:t xml:space="preserve">experience higher rates of </w:t>
      </w:r>
      <w:r w:rsidR="61F0128D" w:rsidRPr="13D05368">
        <w:rPr>
          <w:rFonts w:eastAsia="Arial"/>
          <w:sz w:val="22"/>
        </w:rPr>
        <w:t>multi-FA,</w:t>
      </w:r>
      <w:r w:rsidR="65C47195" w:rsidRPr="13D05368">
        <w:rPr>
          <w:rFonts w:eastAsia="Arial"/>
          <w:sz w:val="22"/>
        </w:rPr>
        <w:t xml:space="preserve"> </w:t>
      </w:r>
      <w:r w:rsidR="788873F7" w:rsidRPr="13D05368">
        <w:rPr>
          <w:rFonts w:eastAsia="Arial"/>
          <w:sz w:val="22"/>
        </w:rPr>
        <w:t>the additional economic burden posed by multi-F</w:t>
      </w:r>
      <w:r w:rsidR="6594F555" w:rsidRPr="13D05368">
        <w:rPr>
          <w:rFonts w:eastAsia="Arial"/>
          <w:sz w:val="22"/>
        </w:rPr>
        <w:t xml:space="preserve">A represents another driver of </w:t>
      </w:r>
      <w:r w:rsidR="27D04143" w:rsidRPr="13D05368">
        <w:rPr>
          <w:rFonts w:eastAsia="Arial"/>
          <w:sz w:val="22"/>
        </w:rPr>
        <w:t xml:space="preserve">increasing </w:t>
      </w:r>
      <w:r w:rsidR="2E9B4A62" w:rsidRPr="13D05368">
        <w:rPr>
          <w:rFonts w:eastAsia="Arial"/>
          <w:sz w:val="22"/>
        </w:rPr>
        <w:t>diet-associated OOP costs</w:t>
      </w:r>
      <w:r w:rsidR="00C34DBE">
        <w:fldChar w:fldCharType="begin"/>
      </w:r>
      <w:r w:rsidR="00207ADC">
        <w:instrText xml:space="preserve"> ADDIN ZOTERO_ITEM CSL_CITATION {"citationID":"dmXa6vJI","properties":{"formattedCitation":"\\super 6\\nosupersub{}","plainCitation":"6","noteIndex":0},"citationItems":[{"id":1652,"uris":["http://zotero.org/users/4977456/items/YI55H7FF"],"itemData":{"id":1652,"type":"article-journal","abstract":"Introduction\nIgE-mediated food allergy (FA) imposes substantial economic burden on affected patients and families in addition to its well-acknowledged physical and psychosocial health impacts. Some survey data suggest a positive association between number of FAs and the degree of food allergy-related psychosocial and physical health burden—but much less is known about multi-food allergy's economic impact. This study aims to estimate the economic impact of allergy to multiple foods.\nMethods\nA longitudinal multicenter cohort study consecutively enrolled and retained children identified as Hispanic/Latinx, Non-Hispanic Black, and Non-Hispanic White race/ethnicity aged 0-12 with allergist-diagnosed FA. FA-related economic burden was assessed via parent-reported surveys.\nResults\nData were collected for N=987 FA patients, age range=3-16. In unadjusted and covariate-adjusted analyses incorporating key clinical and sociodemographic confounders the number of parent-reported missed workdays due to their child's FA was positively associated (p&lt;.001) with number of current FAs, as was reported visitation of medical specialists for FA care over the past 12 months (p&lt;.001). Interaction analysis indicated that parents of non-Hispanic Black patients missed significantly more workdays due to their child's FA than their White and Hispanic counterparts (p&lt;.05). Reported weekly cost of special diets was also positively associated with number of current FAs, with both non-Hispanic Black (p&lt;.001) and Hispanic (p&lt;0.05) individuals reporting significantly higher costs for FA-related dietary accommodations than their non-Hispanic White counterparts.\nConclusion\nIn a large, geographically, socioeconomically, racially, and ethnically diverse cohort of children, FA-related economic burden increased with the number of current food allergies and was greatest among Hispanic and Non-Hispanic Black families.","collection-title":"2023 Annual Scientific MeetingAmerican College of Allergy, Asthma &amp; Immunology","container-title":"Annals of Allergy, Asthma &amp; Immunology","DOI":"10.1016/j.anai.2023.08.197","ISSN":"1081-1206","issue":"5, Supplement 1","journalAbbreviation":"Annals of Allergy, Asthma &amp; Immunology","page":"S66","source":"ScienceDirect","title":"ECONOMIC BURDEN OF FOOD ALLERGY IS GREATER IN HOUSEHOLDS WITH CHILDREN ALLERGIC TO MORE FOODS","volume":"131","author":[{"family":"Warren","given":"C."},{"family":"Bilaver","given":"L."},{"family":"Assa'ad","given":"A."},{"family":"Sharma","given":"H."},{"family":"Mahdavinia","given":"M."},{"family":"Onal","given":"C."},{"family":"Nimmagadda","given":"S."},{"family":"Gupta","given":"R."}],"issued":{"date-parts":[["2023",11,1]]}}}],"schema":"https://github.com/citation-style-language/schema/raw/master/csl-citation.json"} </w:instrText>
      </w:r>
      <w:r w:rsidR="00C34DBE">
        <w:fldChar w:fldCharType="separate"/>
      </w:r>
      <w:r w:rsidR="00207ADC" w:rsidRPr="00207ADC">
        <w:rPr>
          <w:kern w:val="0"/>
          <w:sz w:val="22"/>
          <w:vertAlign w:val="superscript"/>
        </w:rPr>
        <w:t>6</w:t>
      </w:r>
      <w:r w:rsidR="00C34DBE">
        <w:fldChar w:fldCharType="end"/>
      </w:r>
      <w:r w:rsidR="0B380538" w:rsidRPr="13D05368">
        <w:rPr>
          <w:rFonts w:eastAsia="Arial"/>
          <w:sz w:val="22"/>
        </w:rPr>
        <w:t xml:space="preserve">. Even after adjusting for </w:t>
      </w:r>
      <w:r w:rsidR="0044090D" w:rsidRPr="13D05368">
        <w:rPr>
          <w:rFonts w:eastAsia="Arial"/>
          <w:sz w:val="22"/>
        </w:rPr>
        <w:t>multi-</w:t>
      </w:r>
      <w:r w:rsidR="0B380538" w:rsidRPr="13D05368">
        <w:rPr>
          <w:rFonts w:eastAsia="Arial"/>
          <w:sz w:val="22"/>
        </w:rPr>
        <w:t>FA</w:t>
      </w:r>
      <w:r w:rsidR="207EB2C5" w:rsidRPr="13D05368">
        <w:rPr>
          <w:rFonts w:eastAsia="Arial"/>
          <w:sz w:val="22"/>
        </w:rPr>
        <w:t xml:space="preserve"> and household income</w:t>
      </w:r>
      <w:r w:rsidR="0B380538" w:rsidRPr="13D05368">
        <w:rPr>
          <w:rFonts w:eastAsia="Arial"/>
          <w:sz w:val="22"/>
        </w:rPr>
        <w:t xml:space="preserve">, we found that </w:t>
      </w:r>
      <w:r w:rsidR="6AB771A8" w:rsidRPr="13D05368">
        <w:rPr>
          <w:rFonts w:eastAsia="Arial"/>
          <w:sz w:val="22"/>
        </w:rPr>
        <w:t>the annualized OOP diet cost was more than $1,000 higher for H/L than for NHW children</w:t>
      </w:r>
      <w:r w:rsidR="6973615E" w:rsidRPr="13D05368">
        <w:rPr>
          <w:rFonts w:eastAsia="Arial"/>
          <w:sz w:val="22"/>
        </w:rPr>
        <w:t xml:space="preserve"> which may be explained by </w:t>
      </w:r>
      <w:r w:rsidR="4F850965" w:rsidRPr="13D05368">
        <w:rPr>
          <w:rFonts w:eastAsia="Arial"/>
          <w:sz w:val="22"/>
        </w:rPr>
        <w:t>a combination of</w:t>
      </w:r>
      <w:r w:rsidR="6973615E" w:rsidRPr="13D05368">
        <w:rPr>
          <w:rFonts w:eastAsia="Arial"/>
          <w:sz w:val="22"/>
        </w:rPr>
        <w:t xml:space="preserve"> higher per unit costs of allergen-free foods</w:t>
      </w:r>
      <w:r w:rsidR="6BFE6BC2" w:rsidRPr="13D05368">
        <w:rPr>
          <w:rFonts w:eastAsia="Arial"/>
          <w:sz w:val="22"/>
        </w:rPr>
        <w:t xml:space="preserve"> for this population</w:t>
      </w:r>
      <w:r w:rsidR="5B30ACBA" w:rsidRPr="13D05368">
        <w:rPr>
          <w:rFonts w:eastAsia="Arial"/>
          <w:sz w:val="22"/>
        </w:rPr>
        <w:t xml:space="preserve"> </w:t>
      </w:r>
      <w:r w:rsidR="6BFE6BC2" w:rsidRPr="13D05368">
        <w:rPr>
          <w:rFonts w:eastAsia="Arial"/>
          <w:sz w:val="22"/>
        </w:rPr>
        <w:t xml:space="preserve">or additional </w:t>
      </w:r>
      <w:r w:rsidR="4F850965" w:rsidRPr="13D05368">
        <w:rPr>
          <w:rFonts w:eastAsia="Arial"/>
          <w:sz w:val="22"/>
        </w:rPr>
        <w:t xml:space="preserve">ancillary </w:t>
      </w:r>
      <w:r w:rsidR="6BFE6BC2" w:rsidRPr="13D05368">
        <w:rPr>
          <w:rFonts w:eastAsia="Arial"/>
          <w:sz w:val="22"/>
        </w:rPr>
        <w:t xml:space="preserve">expenses </w:t>
      </w:r>
      <w:r w:rsidR="4F850965" w:rsidRPr="13D05368">
        <w:rPr>
          <w:rFonts w:eastAsia="Arial"/>
          <w:sz w:val="22"/>
        </w:rPr>
        <w:t xml:space="preserve">such as transportation required to obtain these </w:t>
      </w:r>
      <w:r w:rsidR="1588E436" w:rsidRPr="13D05368">
        <w:rPr>
          <w:rFonts w:eastAsia="Arial"/>
          <w:sz w:val="22"/>
        </w:rPr>
        <w:t>products</w:t>
      </w:r>
      <w:r w:rsidR="4F850965" w:rsidRPr="13D05368">
        <w:rPr>
          <w:rFonts w:eastAsia="Arial"/>
          <w:sz w:val="22"/>
        </w:rPr>
        <w:t>.</w:t>
      </w:r>
      <w:r w:rsidR="00B62D04" w:rsidRPr="13D05368">
        <w:rPr>
          <w:rFonts w:eastAsia="Arial"/>
          <w:sz w:val="22"/>
        </w:rPr>
        <w:t xml:space="preserve"> </w:t>
      </w:r>
      <w:r w:rsidR="1D550D1E" w:rsidRPr="13D05368">
        <w:rPr>
          <w:rFonts w:eastAsia="Arial"/>
          <w:sz w:val="22"/>
        </w:rPr>
        <w:t>Another possible explanation for the higher costs for this group is expenditures not medically indicated due to lower knowledge of effective allergen avoidance strategies</w:t>
      </w:r>
      <w:r w:rsidR="002A472A">
        <w:rPr>
          <w:rFonts w:eastAsia="Arial"/>
          <w:sz w:val="22"/>
        </w:rPr>
        <w:t xml:space="preserve"> or lower self-efficacy, especially among those with comorbid mental health challenges</w:t>
      </w:r>
      <w:r w:rsidR="1D550D1E" w:rsidRPr="13D05368">
        <w:rPr>
          <w:rFonts w:eastAsia="Arial"/>
          <w:sz w:val="22"/>
        </w:rPr>
        <w:t>.</w:t>
      </w:r>
      <w:r w:rsidR="002A472A">
        <w:rPr>
          <w:rFonts w:eastAsia="Arial"/>
          <w:sz w:val="22"/>
        </w:rPr>
        <w:fldChar w:fldCharType="begin"/>
      </w:r>
      <w:r w:rsidR="002A472A">
        <w:rPr>
          <w:rFonts w:eastAsia="Arial"/>
          <w:sz w:val="22"/>
        </w:rPr>
        <w:instrText xml:space="preserve"> ADDIN ZOTERO_ITEM CSL_CITATION {"citationID":"ZOUr7bOG","properties":{"formattedCitation":"\\super 7\\nosupersub{}","plainCitation":"7","noteIndex":0},"citationItems":[{"id":1765,"uris":["http://zotero.org/users/4977456/items/DX2RL89A"],"itemData":{"id":1765,"type":"article-journal","abstract":"OBJECTIVE: The prevalence of pediatric food allergy (FA) is increasing and, due to early disease onset, requires significant caregiver management that is associated with psychosocial burden. Caregiver perception of how they cope and handle FA-related events (self-efficacy) has been linked to psychosocial outcomes in racially/geographically homogenous samples. This study explores FA-related caregiver self-efficacy and associations with FA-related caregiver quality of life (QoL) in a diverse cohort.\nMETHODS: Caregivers of children, diagnosed with IgE-mediated FA who identified as non-Hispanic Black or White, were recruited from U.S. academic allergy clinics. Caregivers completed demographic and medical questionnaires, the Food Allergy Self-Efficacy Scale for Parents (FASE-P), Food Allergy Independent Measure-Parent Form (FAIM), and the Food Allergy Quality of Life-Parental Burden (FAQL-PB). Bivariate and multivariate associations estimated relationships between study variables.\nRESULTS: Caregivers of 365 children (Mage = 5.8 years, 62.2% male, 31.1% Black) were enrolled. Caregivers reported high FA self-efficacy (M = 82.06/100), moderate perceptions of risk/FA severity (FAIM: M = 3.9/7), and some limitations on the FAQL-PB (M = 3.9/7). Self-efficacy was related to lower perceptions of risk/FA severity across all demographic groups (r = -.42, p &lt; .001). Caregivers who reported higher self-efficacy reported better QoL, particularly Black caregivers (r = .67).\nCONCLUSIONS: In this sample of caregivers of children with FA, greater self-efficacy was related to improved QoL regardless of sociodemographic factors. Caregivers' perception of risk was lower for those with greater self-efficacy. Future research into the impact of FA management on QoL among diverse caregivers is needed.","container-title":"Journal of Pediatric Psychology","DOI":"10.1093/jpepsy/jsab137","ISSN":"1465-735X","issue":"6","journalAbbreviation":"J Pediatr Psychol","language":"eng","note":"PMID: 35079803\nPMCID: PMC9425846","page":"674-684","source":"PubMed","title":"Self-Efficacy Among Caregivers of Children With Food Allergy: A Cohort Study","title-short":"Self-Efficacy Among Caregivers of Children With Food Allergy","volume":"47","author":[{"family":"Pappalardo","given":"Andrea A."},{"family":"Herbert","given":"Linda"},{"family":"Warren","given":"Christopher"},{"family":"Lombard","given":"Lisa"},{"family":"Ramos","given":"Ashley"},{"family":"Asa'ad","given":"Amal"},{"family":"Sharma","given":"Hemant"},{"family":"Tobin","given":"Mary C."},{"family":"Choi","given":"Jonathan"},{"family":"Hultquist","given":"Haley"},{"family":"Jiang","given":"Jialing"},{"family":"Kulkarni","given":"Ashwin"},{"family":"Mahdavinia","given":"Mahboobeh"},{"family":"Vincent","given":"Eileen"},{"family":"Gupta","given":"Ruchi"}],"issued":{"date-parts":[["2022",6,7]]}}}],"schema":"https://github.com/citation-style-language/schema/raw/master/csl-citation.json"} </w:instrText>
      </w:r>
      <w:r w:rsidR="002A472A">
        <w:rPr>
          <w:rFonts w:eastAsia="Arial"/>
          <w:sz w:val="22"/>
        </w:rPr>
        <w:fldChar w:fldCharType="separate"/>
      </w:r>
      <w:r w:rsidR="002A472A" w:rsidRPr="002A472A">
        <w:rPr>
          <w:kern w:val="0"/>
          <w:sz w:val="22"/>
          <w:vertAlign w:val="superscript"/>
        </w:rPr>
        <w:t>7</w:t>
      </w:r>
      <w:r w:rsidR="002A472A">
        <w:rPr>
          <w:rFonts w:eastAsia="Arial"/>
          <w:sz w:val="22"/>
        </w:rPr>
        <w:fldChar w:fldCharType="end"/>
      </w:r>
    </w:p>
    <w:p w14:paraId="132DCC68" w14:textId="77777777" w:rsidR="00F02FC5" w:rsidRDefault="00F02FC5" w:rsidP="13D05368">
      <w:pPr>
        <w:rPr>
          <w:rFonts w:eastAsia="Arial"/>
          <w:sz w:val="22"/>
        </w:rPr>
      </w:pPr>
    </w:p>
    <w:p w14:paraId="3D65CAF7" w14:textId="25E4DED4" w:rsidR="00287DF2" w:rsidRDefault="6C4AB84A" w:rsidP="13D05368">
      <w:pPr>
        <w:rPr>
          <w:rFonts w:eastAsia="Arial"/>
          <w:sz w:val="22"/>
        </w:rPr>
      </w:pPr>
      <w:r w:rsidRPr="13D05368">
        <w:rPr>
          <w:rFonts w:eastAsia="Arial"/>
          <w:sz w:val="22"/>
        </w:rPr>
        <w:t xml:space="preserve">We </w:t>
      </w:r>
      <w:r w:rsidR="5E570EF1" w:rsidRPr="13D05368">
        <w:rPr>
          <w:rFonts w:eastAsia="Arial"/>
          <w:sz w:val="22"/>
        </w:rPr>
        <w:t xml:space="preserve">also </w:t>
      </w:r>
      <w:r w:rsidRPr="13D05368">
        <w:rPr>
          <w:rFonts w:eastAsia="Arial"/>
          <w:sz w:val="22"/>
        </w:rPr>
        <w:t>determined</w:t>
      </w:r>
      <w:r w:rsidR="6286ABA7" w:rsidRPr="13D05368">
        <w:rPr>
          <w:rFonts w:eastAsia="Arial"/>
          <w:sz w:val="22"/>
        </w:rPr>
        <w:t xml:space="preserve"> </w:t>
      </w:r>
      <w:r w:rsidR="7D338376" w:rsidRPr="13D05368">
        <w:rPr>
          <w:rFonts w:eastAsia="Arial"/>
          <w:sz w:val="22"/>
        </w:rPr>
        <w:t xml:space="preserve">that </w:t>
      </w:r>
      <w:r w:rsidR="3A32E043" w:rsidRPr="13D05368">
        <w:rPr>
          <w:rFonts w:eastAsia="Arial"/>
          <w:sz w:val="22"/>
        </w:rPr>
        <w:t xml:space="preserve">NHB children were less likely to incur an OOP </w:t>
      </w:r>
      <w:r w:rsidR="2A9931D6" w:rsidRPr="13D05368">
        <w:rPr>
          <w:rFonts w:eastAsia="Arial"/>
          <w:sz w:val="22"/>
        </w:rPr>
        <w:t>cost associated with diet</w:t>
      </w:r>
      <w:r w:rsidR="4A9AC753" w:rsidRPr="13D05368">
        <w:rPr>
          <w:rFonts w:eastAsia="Arial"/>
          <w:sz w:val="22"/>
        </w:rPr>
        <w:t xml:space="preserve"> and antihistamines</w:t>
      </w:r>
      <w:r w:rsidR="2A9931D6" w:rsidRPr="13D05368">
        <w:rPr>
          <w:rFonts w:eastAsia="Arial"/>
          <w:sz w:val="22"/>
        </w:rPr>
        <w:t xml:space="preserve">, </w:t>
      </w:r>
      <w:r w:rsidR="43C4167A" w:rsidRPr="13D05368">
        <w:rPr>
          <w:rFonts w:eastAsia="Arial"/>
          <w:sz w:val="22"/>
        </w:rPr>
        <w:t xml:space="preserve">which may </w:t>
      </w:r>
      <w:r w:rsidR="21ACD836" w:rsidRPr="13D05368">
        <w:rPr>
          <w:rFonts w:eastAsia="Arial"/>
          <w:sz w:val="22"/>
        </w:rPr>
        <w:t xml:space="preserve">either represent a </w:t>
      </w:r>
      <w:r w:rsidR="24D08258" w:rsidRPr="13D05368">
        <w:rPr>
          <w:rFonts w:eastAsia="Arial"/>
          <w:sz w:val="22"/>
        </w:rPr>
        <w:t xml:space="preserve">true </w:t>
      </w:r>
      <w:r w:rsidR="4A9AC753" w:rsidRPr="13D05368">
        <w:rPr>
          <w:rFonts w:eastAsia="Arial"/>
          <w:sz w:val="22"/>
        </w:rPr>
        <w:t xml:space="preserve">decreased need or, more likely, </w:t>
      </w:r>
      <w:r w:rsidR="3712E51D" w:rsidRPr="13D05368">
        <w:rPr>
          <w:rFonts w:eastAsia="Arial"/>
          <w:sz w:val="22"/>
        </w:rPr>
        <w:t>a</w:t>
      </w:r>
      <w:r w:rsidR="0FC7FFB5" w:rsidRPr="13D05368">
        <w:rPr>
          <w:rFonts w:eastAsia="Arial"/>
          <w:sz w:val="22"/>
        </w:rPr>
        <w:t xml:space="preserve">n </w:t>
      </w:r>
      <w:r w:rsidR="51F70354" w:rsidRPr="13D05368">
        <w:rPr>
          <w:rFonts w:eastAsia="Arial"/>
          <w:sz w:val="22"/>
        </w:rPr>
        <w:lastRenderedPageBreak/>
        <w:t xml:space="preserve">underutilization of </w:t>
      </w:r>
      <w:r w:rsidR="00B62D04" w:rsidRPr="13D05368">
        <w:rPr>
          <w:rFonts w:eastAsia="Arial"/>
          <w:sz w:val="22"/>
        </w:rPr>
        <w:t>resources</w:t>
      </w:r>
      <w:r w:rsidR="11B31759" w:rsidRPr="13D05368">
        <w:rPr>
          <w:rFonts w:eastAsia="Arial"/>
          <w:sz w:val="22"/>
        </w:rPr>
        <w:t xml:space="preserve"> by populations with historically limited access to healthcare</w:t>
      </w:r>
      <w:r w:rsidR="35A36EC5" w:rsidRPr="13D05368">
        <w:rPr>
          <w:rFonts w:eastAsia="Arial"/>
          <w:sz w:val="22"/>
        </w:rPr>
        <w:t>.</w:t>
      </w:r>
      <w:r w:rsidR="00B805E5" w:rsidRPr="13D05368">
        <w:rPr>
          <w:rFonts w:eastAsia="Arial"/>
          <w:sz w:val="22"/>
        </w:rPr>
        <w:t xml:space="preserve"> Recent literature posits that even after robust adjustment for health status and other socioeconomic factors, NHB individuals utilize less healthcare than NHW individuals.</w:t>
      </w:r>
      <w:r w:rsidR="00256994">
        <w:fldChar w:fldCharType="begin"/>
      </w:r>
      <w:r w:rsidR="002A472A">
        <w:instrText xml:space="preserve"> ADDIN ZOTERO_ITEM CSL_CITATION {"citationID":"TBaAzBXk","properties":{"formattedCitation":"\\super 8,9\\nosupersub{}","plainCitation":"8,9","noteIndex":0},"citationItems":[{"id":1761,"uris":["http://zotero.org/users/4977456/items/JMUEAGGQ"],"itemData":{"id":1761,"type":"article-journal","abstract":"This cross-sectional study examines whether and to what extent there are differences in health care spending and utilization between Black and White enrollees in Medicaid.","container-title":"JAMA Health Forum","DOI":"10.1001/jamahealthforum.2022.1398","ISSN":"2689-0186","issue":"6","journalAbbreviation":"JAMA Health Forum","note":"PMID: 35977238\nPMCID: PMC9187949","page":"e221398","source":"PubMed Central","title":"Disparities in Health Care Spending and Utilization Among Black and White Medicaid Enrollees","volume":"3","author":[{"family":"Wallace","given":"Jacob"},{"family":"Lollo","given":"Anthony"},{"family":"Duchowny","given":"Kate A."},{"family":"Lavallee","given":"Matthew"},{"family":"Ndumele","given":"Chima D."}],"issued":{"date-parts":[["2022",6,10]]}}},{"id":1645,"uris":["http://zotero.org/users/4977456/items/MVNTSAB8"],"itemData":{"id":1645,"type":"article-journal","abstract":"In the US, Black people receive less health care than White people. Data on long-term trends in these disparities, which provide historical context for interpreting contemporary inequalities, are lacking.To assess trends in Black-White disparities in health care use since 1963.This cross-sectional study analyzed 29 US surveys conducted between 1963 and 2019 of noninstitutionalized Black and non-Hispanic White civilians.Self-reported race and ethnicity.Annual per capita visit rates (for ambulatory, dental, and emergency department care), inpatient hospitalization rates, and total per capita medical expenditures.Data from 154 859 Black and 446 944 White (non-Hispanic) individuals surveyed from 1963 to 2019 were analyzed (316 503 [52.6%] female; mean [SD] age, 37.0 [23.3] years). Disparities narrowed in the 1970s in the wake of landmark civil rights legislation and the implementation of Medicare and Medicaid but subsequently widened. For instance, the White-Black gap in ambulatory care visits decreased from 1.2 (95% CI, 1.0-1.4) visits per year in 1963 to 0.8 (95% CI, 0.6-1.0) visits per year in the 1970s and then increased, reaching 3.2 (95% CI, 3.0-3.4) visits per year in 2014 to 2019. Even among privately insured adults aged 18 to 64 years, White individuals used far more ambulatory care (2.6 [95% CI, 2.4-2.8] more visits per year) than Black individuals in 2014 to 2019. Similarly, White peoples’ overall health care use, measured in dollars per capita, exceeded that of Black people in every year. After narrowing from 1.96 in the 1960s to 1.26 in the 1970s, the White-Black expenditure ratio began widening in the 1980s, reaching 1.46 in the 1990s; it remained between 1.31 and 1.39 in subsequent periods.This study’s findings indicate that racial inequities in care have persisted for 6 decades and widened in recent years, suggesting the persistence and even fortification of structural racism in health care access. Reform efforts should include training more Black health care professionals, investments in Black-serving health facilities, and implementing universal health coverage that eliminates cost barriers.","container-title":"JAMA Network Open","DOI":"10.1001/jamanetworkopen.2022.17383","ISSN":"2574-3805","issue":"6","journalAbbreviation":"JAMA Network Open","page":"e2217383","source":"Silverchair","title":"Trends in Health Care Use Among Black and White Persons in the US, 1963-2019","volume":"5","author":[{"family":"Dickman","given":"Samuel L."},{"family":"Gaffney","given":"Adam"},{"family":"McGregor","given":"Alecia"},{"family":"Himmelstein","given":"David U."},{"family":"McCormick","given":"Danny"},{"family":"Bor","given":"David H."},{"family":"Woolhandler","given":"Steffie"}],"issued":{"date-parts":[["2022",6,14]]}},"label":"page"}],"schema":"https://github.com/citation-style-language/schema/raw/master/csl-citation.json"} </w:instrText>
      </w:r>
      <w:r w:rsidR="00256994">
        <w:fldChar w:fldCharType="separate"/>
      </w:r>
      <w:r w:rsidR="002A472A" w:rsidRPr="002A472A">
        <w:rPr>
          <w:kern w:val="0"/>
          <w:sz w:val="22"/>
          <w:vertAlign w:val="superscript"/>
        </w:rPr>
        <w:t>8,9</w:t>
      </w:r>
      <w:r w:rsidR="00256994">
        <w:fldChar w:fldCharType="end"/>
      </w:r>
      <w:r w:rsidR="1363D0EF" w:rsidRPr="13D05368">
        <w:rPr>
          <w:rFonts w:eastAsia="Arial"/>
          <w:sz w:val="22"/>
        </w:rPr>
        <w:t xml:space="preserve"> </w:t>
      </w:r>
      <w:r w:rsidR="2B6BE2F5" w:rsidRPr="13D05368">
        <w:rPr>
          <w:rFonts w:eastAsia="Arial"/>
          <w:sz w:val="22"/>
        </w:rPr>
        <w:t xml:space="preserve">Though there is some debate about whether this </w:t>
      </w:r>
      <w:r w:rsidR="3F7A6543" w:rsidRPr="13D05368">
        <w:rPr>
          <w:rFonts w:eastAsia="Arial"/>
          <w:sz w:val="22"/>
        </w:rPr>
        <w:t>represents</w:t>
      </w:r>
      <w:r w:rsidR="2B6BE2F5" w:rsidRPr="13D05368">
        <w:rPr>
          <w:rFonts w:eastAsia="Arial"/>
          <w:sz w:val="22"/>
        </w:rPr>
        <w:t xml:space="preserve"> an overutilization by NHW individuals</w:t>
      </w:r>
      <w:r w:rsidR="02C6A288" w:rsidRPr="13D05368">
        <w:rPr>
          <w:rFonts w:eastAsia="Arial"/>
          <w:sz w:val="22"/>
        </w:rPr>
        <w:t xml:space="preserve"> or an underutilization by NHB individuals</w:t>
      </w:r>
      <w:r w:rsidR="2B6BE2F5" w:rsidRPr="13D05368">
        <w:rPr>
          <w:rFonts w:eastAsia="Arial"/>
          <w:sz w:val="22"/>
        </w:rPr>
        <w:t>,</w:t>
      </w:r>
      <w:r w:rsidR="417FDF33" w:rsidRPr="13D05368">
        <w:rPr>
          <w:rFonts w:eastAsia="Arial"/>
          <w:sz w:val="22"/>
        </w:rPr>
        <w:t xml:space="preserve"> our previously reported findings of more frequent and severe</w:t>
      </w:r>
      <w:r w:rsidR="3AABAE4C" w:rsidRPr="13D05368">
        <w:rPr>
          <w:rFonts w:eastAsia="Arial"/>
          <w:sz w:val="22"/>
        </w:rPr>
        <w:t xml:space="preserve"> food allergy</w:t>
      </w:r>
      <w:r w:rsidR="417FDF33" w:rsidRPr="13D05368">
        <w:rPr>
          <w:rFonts w:eastAsia="Arial"/>
          <w:sz w:val="22"/>
        </w:rPr>
        <w:t xml:space="preserve"> reactions </w:t>
      </w:r>
      <w:r w:rsidR="02C6A288" w:rsidRPr="13D05368">
        <w:rPr>
          <w:rFonts w:eastAsia="Arial"/>
          <w:sz w:val="22"/>
        </w:rPr>
        <w:t>among NHB in the FORWARD cohort likely suggest the latter.</w:t>
      </w:r>
      <w:r w:rsidR="00816229">
        <w:fldChar w:fldCharType="begin"/>
      </w:r>
      <w:r w:rsidR="00207ADC">
        <w:instrText xml:space="preserve"> ADDIN ZOTERO_ITEM CSL_CITATION {"citationID":"p0jTXmPw","properties":{"formattedCitation":"\\super 4\\nosupersub{}","plainCitation":"4","noteIndex":0},"citationItems":[{"id":1751,"uris":["http://zotero.org/users/4977456/items/XD4B3XX4"],"itemData":{"id":1751,"type":"article-journal","abstract":"BACKGROUND: Definitive treatment for food allergy reactions including anaphylaxis varies widely by reaction severity and socioeconomic status but little data exists to characterize the relationship between severity, management, and race and ethnicity.\nOBJECTIVE: We aimed to analyze the differences in reaction severity, epinephrine use, and emergency room utilization by race and ethnicity in a large, diverse, food-allergic cohort.\nMETHODS: We analyzed intake data from participants in the FORWARD cohort on the history of food allergy reactions, severity of the reactions, and management associated with each reaction. We used descriptive statistics as well as mixed-effects logistic and poisson models to describe the differences in reaction severity, ER visits, and total lifetime epinephrine usage by race and ethnicity.\nRESULTS: 784 children were included in the analysis: 425 (54.2%) were non-Hispanic White (NHW), 282 (36.0%) were non-Hispanic Black (NHB), and 77 (9.8%) were Hispanic or Latino (H/L). NHB children had increased odds of more severe reactions (OR: 1.7, 95% CI: 1.2, 2.3) and higher odds of going to the ER (OR: 2.8, 95% CI: 1.4, 5.4)). Both NHB (IRR: 0.4, 95% CI: 0.3, 0.5) and H/L (IRR: 0.3, 95% CI: 0.2, 0.5) children had lower rates of total lifetime epinephrine use.\nCONCLUSION: There are significant disparities in the severity and treatment of food allergy reactions by race and ethnicity, resulting in increased ER utilization and decreased total lifetime epinephrine. Equipping parents with resources and tools on management of food allergy reactions may result in decreased disparity in access to definitive care.","container-title":"The Journal of Allergy and Clinical Immunology. In Practice","DOI":"10.1016/j.jaip.2023.12.052","ISSN":"2213-2201","journalAbbreviation":"J Allergy Clin Immunol Pract","language":"eng","note":"PMID: 38190887","page":"S2213-2198(24)00016-3","source":"PubMed","title":"Food Allergy Reaction Severity and Management in a Diverse Population","author":[{"family":"Kay-Green","given":"Samantha"},{"family":"Thivalapill","given":"Neil"},{"family":"Bilaver","given":"Lucy"},{"family":"Jiang","given":"Jialing"},{"family":"Gupta","given":"Ruchi"}],"issued":{"date-parts":[["2024",1,6]]}}}],"schema":"https://github.com/citation-style-language/schema/raw/master/csl-citation.json"} </w:instrText>
      </w:r>
      <w:r w:rsidR="00816229">
        <w:fldChar w:fldCharType="separate"/>
      </w:r>
      <w:r w:rsidR="00207ADC" w:rsidRPr="00207ADC">
        <w:rPr>
          <w:kern w:val="0"/>
          <w:sz w:val="22"/>
          <w:vertAlign w:val="superscript"/>
        </w:rPr>
        <w:t>4</w:t>
      </w:r>
      <w:r w:rsidR="00816229">
        <w:fldChar w:fldCharType="end"/>
      </w:r>
      <w:r w:rsidR="009628F6" w:rsidRPr="13D05368">
        <w:rPr>
          <w:rFonts w:eastAsia="Arial"/>
          <w:sz w:val="22"/>
        </w:rPr>
        <w:t xml:space="preserve"> This framework should also be balanced by a discussion on the type of healthcare spending – the literature suggests that NHB individuals spent 26% less on ambulatory care but </w:t>
      </w:r>
      <w:r w:rsidR="00287DF2" w:rsidRPr="13D05368">
        <w:rPr>
          <w:rFonts w:eastAsia="Arial"/>
          <w:sz w:val="22"/>
        </w:rPr>
        <w:t>spend</w:t>
      </w:r>
      <w:r w:rsidR="009628F6" w:rsidRPr="13D05368">
        <w:rPr>
          <w:rFonts w:eastAsia="Arial"/>
          <w:sz w:val="22"/>
        </w:rPr>
        <w:t xml:space="preserve"> 19% more on inpatient and 12% more on ED care.</w:t>
      </w:r>
      <w:r w:rsidR="0051115F">
        <w:fldChar w:fldCharType="begin"/>
      </w:r>
      <w:r w:rsidR="002A472A">
        <w:instrText xml:space="preserve"> ADDIN ZOTERO_ITEM CSL_CITATION {"citationID":"ca1hptql","properties":{"formattedCitation":"\\super 10\\nosupersub{}","plainCitation":"10","noteIndex":0},"citationItems":[{"id":1754,"uris":["http://zotero.org/users/4977456/items/2URYHCVS"],"itemData":{"id":1754,"type":"article-journal","abstract":"Measuring health care spending by race and ethnicity is important for understanding patterns in utilization and treatment.To estimate, identify, and account for differences in health care spending by race and ethnicity from 2002 through 2016 in the US.This exploratory study included data from 7.3 million health system visits, admissions, or prescriptions captured in the Medical Expenditure Panel Survey (2002-2016) and the Medicare Current Beneficiary Survey (2002-2012), which were combined with the insured population and notified case estimates from the National Health Interview Survey (2002; 2016) and health care spending estimates from the Disease Expenditure project (1996-2016).Six mutually exclusive self-reported race and ethnicity groups.Total and age-standardized health care spending per person by race and ethnicity for each year from 2002 through 2016 by type of care. Health care spending per notified case by race and ethnicity for key diseases in 2016. Differences in health care spending across race and ethnicity groups were decomposed into differences in utilization rate vs differences in price and intensity of care.In 2016, an estimated $2.4 trillion (95% uncertainty interval [UI], $2.4 trillion-$2.4 trillion) was spent on health care across the 6 types of care included in this study. The estimated age-standardized total health care spending per person in 2016 was $7649 (95% UI, $6129-$8814) for American Indian and Alaska Native (non-Hispanic) individuals; $4692 (95% UI, $4068-$5202) for Asian, Native Hawaiian, and Pacific Islander (non-Hispanic) individuals; $7361 (95% UI, $6917-$7797) for Black (non-Hispanic) individuals; $6025 (95% UI, $5703-$6373) for Hispanic individuals; $9276 (95% UI, $8066-$10 601) for individuals categorized as multiple races (non-Hispanic); and $8141 (95% UI, $8038-$8258) for White (non-Hispanic) individuals, who accounted for an estimated 72% (95% UI, 71%-73%) of health care spending.  After adjusting for population size and age, White individuals received an estimated 15% (95% UI, 13%-17%; P &amp;lt; .001) more spending on ambulatory care than the all-population mean. Black (non-Hispanic) individuals received an estimated 26% (95% UI, 19%-32%; P &amp;lt; .001) less spending than the all-population mean on ambulatory care but received 19% (95% UI, 3%-32%; P = .02) more on inpatient and 12% (95% UI, 4%-24%; P = .04) more on emergency department care. Hispanic individuals received an estimated 33% (95% UI, 26%-37%; P &amp;lt; .001) less spending per person on ambulatory care than the all-population mean. Asian, Native Hawaiian, and Pacific Islander (non-Hispanic) individuals received less spending than the all-population mean on all types of care except dental (all P &amp;lt; .001), while American Indian and Alaska Native (non-Hispanic) individuals had more spending on emergency department care than the all-population mean (estimated 90% more; 95% UI, 11%-165%; P = .04), and multiple-race (non-Hispanic) individuals had more spending on emergency department care than the all-population mean (estimated 40% more; 95% UI, 19%-63%; P = .006). All 18 of the statistically significant race and ethnicity spending differences by type of care corresponded with differences in utilization. These differences persisted when controlling for underlying disease burden.In the US from 2002 through 2016, health care spending varied by race and ethnicity across different types of care even after adjusting for age and health conditions. Further research is needed to determine current health care spending by race and ethnicity, including spending related to the COVID-19 pandemic.","container-title":"JAMA","DOI":"10.1001/jama.2021.9937","ISSN":"0098-7484","issue":"7","journalAbbreviation":"JAMA","page":"649-659","source":"Silverchair","title":"US Health Care Spending by Race and Ethnicity, 2002-2016","volume":"326","author":[{"family":"Dieleman","given":"Joseph L."},{"family":"Chen","given":"Carina"},{"family":"Crosby","given":"Sawyer W."},{"family":"Liu","given":"Angela"},{"family":"McCracken","given":"Darrah"},{"family":"Pollock","given":"Ian A."},{"family":"Sahu","given":"Maitreyi"},{"family":"Tsakalos","given":"Golsum"},{"family":"Dwyer-Lindgren","given":"Laura"},{"family":"Haakenstad","given":"Annie"},{"family":"Mokdad","given":"Ali H."},{"family":"Roth","given":"Gregory A."},{"family":"Scott","given":"Kirstin Woody"},{"family":"Murray","given":"Christopher J. L."}],"issued":{"date-parts":[["2021",8,17]]}}}],"schema":"https://github.com/citation-style-language/schema/raw/master/csl-citation.json"} </w:instrText>
      </w:r>
      <w:r w:rsidR="0051115F">
        <w:fldChar w:fldCharType="separate"/>
      </w:r>
      <w:r w:rsidR="002A472A" w:rsidRPr="002A472A">
        <w:rPr>
          <w:kern w:val="0"/>
          <w:sz w:val="22"/>
          <w:vertAlign w:val="superscript"/>
        </w:rPr>
        <w:t>10</w:t>
      </w:r>
      <w:r w:rsidR="0051115F">
        <w:fldChar w:fldCharType="end"/>
      </w:r>
      <w:r w:rsidR="03013662" w:rsidRPr="13D05368">
        <w:rPr>
          <w:rFonts w:eastAsia="Arial"/>
          <w:sz w:val="22"/>
        </w:rPr>
        <w:t xml:space="preserve"> </w:t>
      </w:r>
      <w:r w:rsidR="00287DF2" w:rsidRPr="13D05368">
        <w:rPr>
          <w:rFonts w:eastAsia="Arial"/>
          <w:sz w:val="22"/>
        </w:rPr>
        <w:t xml:space="preserve">This is consistent with our previously reported findings of increased ER usage and decreased lifetime epinephrine use among NHB participants and the current findings of decreased OOP costs observed for diet and antihistamines among NHB children. </w:t>
      </w:r>
      <w:r w:rsidR="0031746A" w:rsidRPr="13D05368">
        <w:rPr>
          <w:rFonts w:eastAsia="Arial"/>
          <w:sz w:val="22"/>
        </w:rPr>
        <w:t>Taken together, these findings suggest an opportunity for increased patient and caregiver education on appropriate dietary measures for allergen avoidance</w:t>
      </w:r>
      <w:r w:rsidR="00321B0B" w:rsidRPr="13D05368">
        <w:rPr>
          <w:rFonts w:eastAsia="Arial"/>
          <w:sz w:val="22"/>
        </w:rPr>
        <w:t xml:space="preserve">, ambulatory management </w:t>
      </w:r>
      <w:r w:rsidR="0031746A" w:rsidRPr="13D05368">
        <w:rPr>
          <w:rFonts w:eastAsia="Arial"/>
          <w:sz w:val="22"/>
        </w:rPr>
        <w:t xml:space="preserve">of FA-reaction symptoms </w:t>
      </w:r>
      <w:r w:rsidR="00281160" w:rsidRPr="13D05368">
        <w:rPr>
          <w:rFonts w:eastAsia="Arial"/>
          <w:sz w:val="22"/>
        </w:rPr>
        <w:t>using</w:t>
      </w:r>
      <w:r w:rsidR="00321B0B" w:rsidRPr="13D05368">
        <w:rPr>
          <w:rFonts w:eastAsia="Arial"/>
          <w:sz w:val="22"/>
        </w:rPr>
        <w:t xml:space="preserve"> antihistamines, and </w:t>
      </w:r>
      <w:r w:rsidR="0031746A" w:rsidRPr="13D05368">
        <w:rPr>
          <w:rFonts w:eastAsia="Arial"/>
          <w:sz w:val="22"/>
        </w:rPr>
        <w:t>appropriate escalation of care to the ED.</w:t>
      </w:r>
    </w:p>
    <w:p w14:paraId="72BA059D" w14:textId="77777777" w:rsidR="00287DF2" w:rsidRDefault="00287DF2" w:rsidP="13D05368">
      <w:pPr>
        <w:rPr>
          <w:rFonts w:eastAsia="Arial"/>
          <w:sz w:val="22"/>
        </w:rPr>
      </w:pPr>
    </w:p>
    <w:p w14:paraId="1BE36C59" w14:textId="4A6AFE45" w:rsidR="00A34C67" w:rsidRPr="004A0989" w:rsidRDefault="03013662" w:rsidP="13D05368">
      <w:pPr>
        <w:rPr>
          <w:rFonts w:eastAsia="Arial"/>
          <w:sz w:val="22"/>
          <w:vertAlign w:val="superscript"/>
        </w:rPr>
      </w:pPr>
      <w:r w:rsidRPr="13D05368">
        <w:rPr>
          <w:rFonts w:eastAsia="Arial"/>
          <w:sz w:val="22"/>
        </w:rPr>
        <w:t xml:space="preserve">Finally, we found that </w:t>
      </w:r>
      <w:r w:rsidR="2412026B" w:rsidRPr="13D05368">
        <w:rPr>
          <w:rFonts w:eastAsia="Arial"/>
          <w:sz w:val="22"/>
        </w:rPr>
        <w:t>compared to those households with</w:t>
      </w:r>
      <w:r w:rsidR="002E34C8">
        <w:rPr>
          <w:rFonts w:eastAsia="Arial"/>
          <w:sz w:val="22"/>
        </w:rPr>
        <w:t xml:space="preserve"> annual</w:t>
      </w:r>
      <w:r w:rsidR="2412026B" w:rsidRPr="13D05368">
        <w:rPr>
          <w:rFonts w:eastAsia="Arial"/>
          <w:sz w:val="22"/>
        </w:rPr>
        <w:t xml:space="preserve"> incomes of less than $100,000, households with incomes of $100,000 - $200,000 were</w:t>
      </w:r>
      <w:r w:rsidR="4B523480" w:rsidRPr="13D05368">
        <w:rPr>
          <w:rFonts w:eastAsia="Arial"/>
          <w:sz w:val="22"/>
        </w:rPr>
        <w:t xml:space="preserve"> more than three-times as likely to incur an OOP </w:t>
      </w:r>
      <w:r w:rsidR="00754B54" w:rsidRPr="13D05368">
        <w:rPr>
          <w:rFonts w:eastAsia="Arial"/>
          <w:sz w:val="22"/>
        </w:rPr>
        <w:t>EAI</w:t>
      </w:r>
      <w:r w:rsidR="4B523480" w:rsidRPr="13D05368">
        <w:rPr>
          <w:rFonts w:eastAsia="Arial"/>
          <w:sz w:val="22"/>
        </w:rPr>
        <w:t xml:space="preserve"> cost and almost twice as likely to incur an OOP antihistamine cost, which is consistent with the</w:t>
      </w:r>
      <w:r w:rsidR="09D01811" w:rsidRPr="13D05368">
        <w:rPr>
          <w:rFonts w:eastAsia="Arial"/>
          <w:sz w:val="22"/>
        </w:rPr>
        <w:t xml:space="preserve"> literature that suggests the </w:t>
      </w:r>
      <w:r w:rsidR="00972A85" w:rsidRPr="13D05368">
        <w:rPr>
          <w:rFonts w:eastAsia="Arial"/>
          <w:sz w:val="22"/>
        </w:rPr>
        <w:t xml:space="preserve">OOP </w:t>
      </w:r>
      <w:r w:rsidR="09D01811" w:rsidRPr="13D05368">
        <w:rPr>
          <w:rFonts w:eastAsia="Arial"/>
          <w:sz w:val="22"/>
        </w:rPr>
        <w:t xml:space="preserve">costs for specialist </w:t>
      </w:r>
      <w:r w:rsidR="023B264E" w:rsidRPr="13D05368">
        <w:rPr>
          <w:rFonts w:eastAsia="Arial"/>
          <w:sz w:val="22"/>
        </w:rPr>
        <w:t>visits</w:t>
      </w:r>
      <w:r w:rsidR="09D01811" w:rsidRPr="13D05368">
        <w:rPr>
          <w:rFonts w:eastAsia="Arial"/>
          <w:sz w:val="22"/>
        </w:rPr>
        <w:t xml:space="preserve"> and medications are highest among high income strata</w:t>
      </w:r>
      <w:r w:rsidR="66685408" w:rsidRPr="13D05368">
        <w:rPr>
          <w:rFonts w:eastAsia="Arial"/>
          <w:sz w:val="22"/>
        </w:rPr>
        <w:t xml:space="preserve"> given the nature of healthcare subsidization for the lowest-income strata</w:t>
      </w:r>
      <w:r w:rsidR="09D01811" w:rsidRPr="13D05368">
        <w:rPr>
          <w:rFonts w:eastAsia="Arial"/>
          <w:sz w:val="22"/>
        </w:rPr>
        <w:t>.</w:t>
      </w:r>
      <w:r w:rsidR="00C60561">
        <w:fldChar w:fldCharType="begin"/>
      </w:r>
      <w:r w:rsidR="00207ADC">
        <w:instrText xml:space="preserve"> ADDIN ZOTERO_ITEM CSL_CITATION {"citationID":"0T0t1D7j","properties":{"formattedCitation":"\\super 2\\nosupersub{}","plainCitation":"2","noteIndex":0},"citationItems":[{"id":1561,"uris":["http://zotero.org/users/4977456/items/8C4IA3HA"],"itemData":{"id":1561,"type":"article-journal","abstract":"OBJECTIVES: We compared direct medical costs borne by the health care system and out-of-pocket costs borne by families for children with food allergy by socioeconomic characteristics.\nMETHODS: We analyzed cross-sectional survey data collected between November 2011 and January 2012 from 1643 US caregivers with a food-allergic child. We used a 2-part regression model to estimate mean costs and identified differences by levels of household income and race or ethnicity.\nRESULTS: Children in the lowest income stratum incurred 2.5 times the amount of emergency department and hospitalization costs as a result of their food allergy than higher-income children ($1021, SE ±$209, vs $416, SE ±$94; P &lt; .05). Costs incurred for specialist visits were lower in the lowest income group ($228, SE ±$21) compared with the highest income group ($311, SE ±$18; P &lt; .01) as was spending on out-of-pocket medication costs ($117, SE ± $26, lowest income; $366, SE ±$44, highest income; P &lt; .001). African American caregivers incurred the lowest amount of direct medical costs and spent the least on out-of-pocket costs, with average adjusted costs of $493 (SE ±$109) and $395 (SE ±$452), respectively.\nCONCLUSIONS: Disparities exist in the economic impact of food allergy based on socioeconomic status. Affordable access to specialty care, medications, and allergen-free foods are critical to keep all food-allergic children safe, regardless of income and race.","container-title":"Pediatrics","DOI":"10.1542/peds.2015-3678","ISSN":"1098-4275","issue":"5","journalAbbreviation":"Pediatrics","language":"eng","note":"PMID: 27244806","page":"e20153678","source":"PubMed","title":"Socioeconomic Disparities in the Economic Impact of Childhood Food Allergy","volume":"137","author":[{"family":"Bilaver","given":"Lucy A."},{"family":"Kester","given":"Kristen M."},{"family":"Smith","given":"Bridget M."},{"family":"Gupta","given":"Ruchi S."}],"issued":{"date-parts":[["2016",5]]}}}],"schema":"https://github.com/citation-style-language/schema/raw/master/csl-citation.json"} </w:instrText>
      </w:r>
      <w:r w:rsidR="00C60561">
        <w:fldChar w:fldCharType="separate"/>
      </w:r>
      <w:r w:rsidR="00207ADC" w:rsidRPr="00207ADC">
        <w:rPr>
          <w:kern w:val="0"/>
          <w:sz w:val="22"/>
          <w:vertAlign w:val="superscript"/>
        </w:rPr>
        <w:t>2</w:t>
      </w:r>
      <w:r w:rsidR="00C60561">
        <w:fldChar w:fldCharType="end"/>
      </w:r>
      <w:r w:rsidR="004A0989" w:rsidRPr="13D05368">
        <w:rPr>
          <w:rFonts w:eastAsia="Arial"/>
          <w:sz w:val="22"/>
          <w:vertAlign w:val="superscript"/>
        </w:rPr>
        <w:t xml:space="preserve"> </w:t>
      </w:r>
      <w:r w:rsidR="6A32CC8C" w:rsidRPr="13D05368">
        <w:rPr>
          <w:rFonts w:eastAsia="Arial"/>
          <w:sz w:val="22"/>
        </w:rPr>
        <w:t>W</w:t>
      </w:r>
      <w:r w:rsidR="7C7A8195" w:rsidRPr="13D05368">
        <w:rPr>
          <w:rFonts w:eastAsia="Arial"/>
          <w:sz w:val="22"/>
        </w:rPr>
        <w:t>ith respect to other economic consequences, we found that</w:t>
      </w:r>
      <w:r w:rsidR="52C877AC" w:rsidRPr="13D05368">
        <w:rPr>
          <w:rFonts w:eastAsia="Arial"/>
          <w:sz w:val="22"/>
        </w:rPr>
        <w:t xml:space="preserve"> neither race and ethnicity nor household income were associated with either </w:t>
      </w:r>
      <w:r w:rsidR="00B74E04" w:rsidRPr="13D05368">
        <w:rPr>
          <w:rFonts w:eastAsia="Arial"/>
          <w:sz w:val="22"/>
        </w:rPr>
        <w:t xml:space="preserve">the caregiver </w:t>
      </w:r>
      <w:r w:rsidR="52C877AC" w:rsidRPr="13D05368">
        <w:rPr>
          <w:rFonts w:eastAsia="Arial"/>
          <w:sz w:val="22"/>
        </w:rPr>
        <w:t xml:space="preserve">incurring a missed workday or </w:t>
      </w:r>
      <w:r w:rsidR="1BB45697" w:rsidRPr="13D05368">
        <w:rPr>
          <w:rFonts w:eastAsia="Arial"/>
          <w:sz w:val="22"/>
        </w:rPr>
        <w:t>whether any work changes were required</w:t>
      </w:r>
      <w:r w:rsidR="773FE40B" w:rsidRPr="13D05368">
        <w:rPr>
          <w:rFonts w:eastAsia="Arial"/>
          <w:sz w:val="22"/>
        </w:rPr>
        <w:t xml:space="preserve">. The </w:t>
      </w:r>
      <w:r w:rsidR="68D85A98" w:rsidRPr="13D05368">
        <w:rPr>
          <w:rFonts w:eastAsia="Arial"/>
          <w:sz w:val="22"/>
        </w:rPr>
        <w:t>most consistent</w:t>
      </w:r>
      <w:r w:rsidR="773FE40B" w:rsidRPr="13D05368">
        <w:rPr>
          <w:rFonts w:eastAsia="Arial"/>
          <w:sz w:val="22"/>
        </w:rPr>
        <w:t xml:space="preserve"> drivers of variation in </w:t>
      </w:r>
      <w:r w:rsidR="4CC8A8ED" w:rsidRPr="13D05368">
        <w:rPr>
          <w:rFonts w:eastAsia="Arial"/>
          <w:sz w:val="22"/>
        </w:rPr>
        <w:t>these outcomes</w:t>
      </w:r>
      <w:r w:rsidR="773FE40B" w:rsidRPr="13D05368">
        <w:rPr>
          <w:rFonts w:eastAsia="Arial"/>
          <w:sz w:val="22"/>
        </w:rPr>
        <w:t xml:space="preserve"> were age of the child and whether they had medical</w:t>
      </w:r>
      <w:r w:rsidR="361986D2" w:rsidRPr="13D05368">
        <w:rPr>
          <w:rFonts w:eastAsia="Arial"/>
          <w:sz w:val="22"/>
        </w:rPr>
        <w:t>, nutritional,</w:t>
      </w:r>
      <w:r w:rsidR="773FE40B" w:rsidRPr="13D05368">
        <w:rPr>
          <w:rFonts w:eastAsia="Arial"/>
          <w:sz w:val="22"/>
        </w:rPr>
        <w:t xml:space="preserve"> or </w:t>
      </w:r>
      <w:r w:rsidR="2892E233" w:rsidRPr="13D05368">
        <w:rPr>
          <w:rFonts w:eastAsia="Arial"/>
          <w:sz w:val="22"/>
        </w:rPr>
        <w:t>mental health needs due to their FA.</w:t>
      </w:r>
      <w:r w:rsidR="41233875" w:rsidRPr="13D05368">
        <w:rPr>
          <w:rFonts w:eastAsia="Arial"/>
          <w:sz w:val="22"/>
        </w:rPr>
        <w:t xml:space="preserve"> </w:t>
      </w:r>
      <w:r w:rsidR="7BEFF1E1" w:rsidRPr="13D05368">
        <w:rPr>
          <w:rFonts w:eastAsia="Arial"/>
          <w:sz w:val="22"/>
        </w:rPr>
        <w:t>Workdays missed</w:t>
      </w:r>
      <w:r w:rsidR="49FA5A7D" w:rsidRPr="13D05368">
        <w:rPr>
          <w:rFonts w:eastAsia="Arial"/>
          <w:sz w:val="22"/>
        </w:rPr>
        <w:t xml:space="preserve"> and job-related changes are</w:t>
      </w:r>
      <w:r w:rsidR="7BEFF1E1" w:rsidRPr="13D05368">
        <w:rPr>
          <w:rFonts w:eastAsia="Arial"/>
          <w:sz w:val="22"/>
        </w:rPr>
        <w:t xml:space="preserve"> an important and undermeasured </w:t>
      </w:r>
      <w:r w:rsidR="23767310" w:rsidRPr="13D05368">
        <w:rPr>
          <w:rFonts w:eastAsia="Arial"/>
          <w:sz w:val="22"/>
        </w:rPr>
        <w:t>burden among atopic disease</w:t>
      </w:r>
      <w:r w:rsidR="4D531CE9" w:rsidRPr="13D05368">
        <w:rPr>
          <w:rFonts w:eastAsia="Arial"/>
          <w:sz w:val="22"/>
        </w:rPr>
        <w:t xml:space="preserve"> such as </w:t>
      </w:r>
      <w:proofErr w:type="spellStart"/>
      <w:r w:rsidR="23767310" w:rsidRPr="13D05368">
        <w:rPr>
          <w:rFonts w:eastAsia="Arial"/>
          <w:sz w:val="22"/>
        </w:rPr>
        <w:t>IgE</w:t>
      </w:r>
      <w:proofErr w:type="spellEnd"/>
      <w:r w:rsidR="23767310" w:rsidRPr="13D05368">
        <w:rPr>
          <w:rFonts w:eastAsia="Arial"/>
          <w:sz w:val="22"/>
        </w:rPr>
        <w:t>-mediated food allergy</w:t>
      </w:r>
      <w:r w:rsidR="4743756A" w:rsidRPr="13D05368">
        <w:rPr>
          <w:rFonts w:eastAsia="Arial"/>
          <w:sz w:val="22"/>
        </w:rPr>
        <w:t>.</w:t>
      </w:r>
      <w:r w:rsidR="00A410BA">
        <w:fldChar w:fldCharType="begin"/>
      </w:r>
      <w:r w:rsidR="002A472A">
        <w:instrText xml:space="preserve"> ADDIN ZOTERO_ITEM CSL_CITATION {"citationID":"bHPJCtA1","properties":{"formattedCitation":"\\super 11\\nosupersub{}","plainCitation":"11","noteIndex":0},"citationItems":[{"id":1655,"uris":["http://zotero.org/users/4977456/items/W588IY5Z"],"itemData":{"id":1655,"type":"article-journal","container-title":"Expert Review of Pharmacoeconomics &amp; Outcomes Research","DOI":"10.1080/14737167.2020.1819793","ISSN":"1473-7167","issue":"5","note":"publisher: Taylor &amp; Francis\n_eprint: https://doi.org/10.1080/14737167.2020.1819793\nPMID: 32902346","page":"437-453","source":"Taylor and Francis+NEJM","title":"Burden and socioeconomics of asthma, allergic rhinitis, atopic dermatitis and food allergy","volume":"20","author":[{"family":"Dierick","given":"Boudewijn J.H."},{"family":"Molen","given":"Thys","non-dropping-particle":"van der"},{"family":"Flokstra-de Blok","given":"Bertine M. J."},{"family":"Muraro","given":"Antonella"},{"family":"Postma","given":"Maarten J."},{"family":"Kocks","given":"Janwillem W.H."},{"family":"Boven","given":"Job F.M.","non-dropping-particle":"van"}],"issued":{"date-parts":[["2020",9,2]]}}}],"schema":"https://github.com/citation-style-language/schema/raw/master/csl-citation.json"} </w:instrText>
      </w:r>
      <w:r w:rsidR="00A410BA">
        <w:fldChar w:fldCharType="separate"/>
      </w:r>
      <w:r w:rsidR="002A472A" w:rsidRPr="002A472A">
        <w:rPr>
          <w:kern w:val="0"/>
          <w:sz w:val="22"/>
          <w:vertAlign w:val="superscript"/>
        </w:rPr>
        <w:t>11</w:t>
      </w:r>
      <w:r w:rsidR="00A410BA">
        <w:fldChar w:fldCharType="end"/>
      </w:r>
      <w:r w:rsidR="23767310" w:rsidRPr="13D05368">
        <w:rPr>
          <w:rFonts w:eastAsia="Arial"/>
          <w:sz w:val="22"/>
        </w:rPr>
        <w:t xml:space="preserve"> Our finding highlights the need for employer-driven policy</w:t>
      </w:r>
      <w:r w:rsidR="597B4723" w:rsidRPr="13D05368">
        <w:rPr>
          <w:rFonts w:eastAsia="Arial"/>
          <w:sz w:val="22"/>
        </w:rPr>
        <w:t xml:space="preserve"> that supports caregivers of young children</w:t>
      </w:r>
      <w:r w:rsidR="0BFA2FD3" w:rsidRPr="13D05368">
        <w:rPr>
          <w:rFonts w:eastAsia="Arial"/>
          <w:sz w:val="22"/>
        </w:rPr>
        <w:t>, and particularly</w:t>
      </w:r>
      <w:r w:rsidR="2C23591B" w:rsidRPr="13D05368">
        <w:rPr>
          <w:rFonts w:eastAsia="Arial"/>
          <w:sz w:val="22"/>
        </w:rPr>
        <w:t xml:space="preserve"> those with </w:t>
      </w:r>
      <w:r w:rsidR="597B4723" w:rsidRPr="13D05368">
        <w:rPr>
          <w:rFonts w:eastAsia="Arial"/>
          <w:sz w:val="22"/>
        </w:rPr>
        <w:t>high medical</w:t>
      </w:r>
      <w:r w:rsidR="6D2DA145" w:rsidRPr="13D05368">
        <w:rPr>
          <w:rFonts w:eastAsia="Arial"/>
          <w:sz w:val="22"/>
        </w:rPr>
        <w:t xml:space="preserve">, nutritional, or </w:t>
      </w:r>
      <w:r w:rsidR="597B4723" w:rsidRPr="13D05368">
        <w:rPr>
          <w:rFonts w:eastAsia="Arial"/>
          <w:sz w:val="22"/>
        </w:rPr>
        <w:t>psychological need due to their FA.</w:t>
      </w:r>
      <w:r w:rsidR="78935BFC" w:rsidRPr="13D05368">
        <w:rPr>
          <w:rFonts w:eastAsia="Arial"/>
          <w:sz w:val="22"/>
        </w:rPr>
        <w:t xml:space="preserve"> </w:t>
      </w:r>
      <w:r w:rsidR="2CF0AEF5" w:rsidRPr="13D05368">
        <w:rPr>
          <w:rFonts w:eastAsia="Arial"/>
          <w:sz w:val="22"/>
        </w:rPr>
        <w:t>Like</w:t>
      </w:r>
      <w:r w:rsidR="78935BFC" w:rsidRPr="13D05368">
        <w:rPr>
          <w:rFonts w:eastAsia="Arial"/>
          <w:sz w:val="22"/>
        </w:rPr>
        <w:t xml:space="preserve"> the outcome of job-related changes, we found</w:t>
      </w:r>
      <w:r w:rsidR="00193F00" w:rsidRPr="13D05368">
        <w:rPr>
          <w:rFonts w:eastAsia="Arial"/>
          <w:sz w:val="22"/>
        </w:rPr>
        <w:t xml:space="preserve"> that a child having FA-related medical and nutritional needs </w:t>
      </w:r>
      <w:r w:rsidR="004A0989" w:rsidRPr="13D05368">
        <w:rPr>
          <w:rFonts w:eastAsia="Arial"/>
          <w:sz w:val="22"/>
        </w:rPr>
        <w:t>was</w:t>
      </w:r>
      <w:r w:rsidR="00193F00" w:rsidRPr="13D05368">
        <w:rPr>
          <w:rFonts w:eastAsia="Arial"/>
          <w:sz w:val="22"/>
        </w:rPr>
        <w:t xml:space="preserve"> associated with having to make a lifestyle change due to the child’s FA. </w:t>
      </w:r>
    </w:p>
    <w:p w14:paraId="0C1A486B" w14:textId="77777777" w:rsidR="00A34C67" w:rsidRDefault="00A34C67" w:rsidP="13D05368">
      <w:pPr>
        <w:rPr>
          <w:rFonts w:eastAsia="Arial"/>
          <w:sz w:val="22"/>
        </w:rPr>
      </w:pPr>
    </w:p>
    <w:p w14:paraId="24D6D86A" w14:textId="0F48C3BB" w:rsidR="00E44E4F" w:rsidRDefault="4C0BA1B2" w:rsidP="13D05368">
      <w:pPr>
        <w:rPr>
          <w:rFonts w:eastAsia="Arial"/>
          <w:sz w:val="22"/>
        </w:rPr>
      </w:pPr>
      <w:r w:rsidRPr="13D05368">
        <w:rPr>
          <w:rFonts w:eastAsia="Arial"/>
          <w:sz w:val="22"/>
        </w:rPr>
        <w:t>Finally, even after adjustment for</w:t>
      </w:r>
      <w:r w:rsidR="26AFF5EF" w:rsidRPr="13D05368">
        <w:rPr>
          <w:rFonts w:eastAsia="Arial"/>
          <w:sz w:val="22"/>
        </w:rPr>
        <w:t xml:space="preserve"> </w:t>
      </w:r>
      <w:r w:rsidRPr="13D05368">
        <w:rPr>
          <w:rFonts w:eastAsia="Arial"/>
          <w:sz w:val="22"/>
        </w:rPr>
        <w:t>household income</w:t>
      </w:r>
      <w:r w:rsidR="3D62D060" w:rsidRPr="13D05368">
        <w:rPr>
          <w:rFonts w:eastAsia="Arial"/>
          <w:sz w:val="22"/>
        </w:rPr>
        <w:t xml:space="preserve">, geographical variation by </w:t>
      </w:r>
      <w:r w:rsidR="746AE6AC" w:rsidRPr="13D05368">
        <w:rPr>
          <w:rFonts w:eastAsia="Arial"/>
          <w:sz w:val="22"/>
        </w:rPr>
        <w:t xml:space="preserve">enrollment </w:t>
      </w:r>
      <w:r w:rsidR="3D62D060" w:rsidRPr="13D05368">
        <w:rPr>
          <w:rFonts w:eastAsia="Arial"/>
          <w:sz w:val="22"/>
        </w:rPr>
        <w:t>site, race and ethnicity,</w:t>
      </w:r>
      <w:r w:rsidR="1A7D0C53" w:rsidRPr="13D05368">
        <w:rPr>
          <w:rFonts w:eastAsia="Arial"/>
          <w:sz w:val="22"/>
        </w:rPr>
        <w:t xml:space="preserve"> and other demographic and clinical covariates</w:t>
      </w:r>
      <w:r w:rsidR="005B7E18" w:rsidRPr="13D05368">
        <w:rPr>
          <w:rFonts w:eastAsia="Arial"/>
          <w:sz w:val="22"/>
        </w:rPr>
        <w:t>,</w:t>
      </w:r>
      <w:r w:rsidR="3D62D060" w:rsidRPr="13D05368">
        <w:rPr>
          <w:rFonts w:eastAsia="Arial"/>
          <w:sz w:val="22"/>
        </w:rPr>
        <w:t xml:space="preserve"> we found that NHB and H/L participants were significantly more likely to worry about running out of food and </w:t>
      </w:r>
      <w:r w:rsidR="59CFEA67" w:rsidRPr="13D05368">
        <w:rPr>
          <w:rFonts w:eastAsia="Arial"/>
          <w:sz w:val="22"/>
        </w:rPr>
        <w:t xml:space="preserve">experience </w:t>
      </w:r>
      <w:r w:rsidR="492E765C" w:rsidRPr="13D05368">
        <w:rPr>
          <w:rFonts w:eastAsia="Arial"/>
          <w:sz w:val="22"/>
        </w:rPr>
        <w:t>running out of purchased food compared to NHW</w:t>
      </w:r>
      <w:r w:rsidR="432B95B6" w:rsidRPr="13D05368">
        <w:rPr>
          <w:rFonts w:eastAsia="Arial"/>
          <w:sz w:val="22"/>
        </w:rPr>
        <w:t>, a finding which is consistent with nationally representative data.</w:t>
      </w:r>
      <w:r w:rsidR="00BA5071">
        <w:fldChar w:fldCharType="begin"/>
      </w:r>
      <w:r w:rsidR="002A472A">
        <w:instrText xml:space="preserve"> ADDIN ZOTERO_ITEM CSL_CITATION {"citationID":"Jp082b6C","properties":{"formattedCitation":"\\super 12\\nosupersub{}","plainCitation":"12","noteIndex":0},"citationItems":[{"id":1658,"uris":["http://zotero.org/users/4977456/items/L2979GQN"],"itemData":{"id":1658,"type":"article-journal","abstract":"The number of individuals in the United States who report food insecurity doubled between 2005 and 2012, with little research investigating possible disparities across time in food-insecure populations. The aim of this study was to investigate trends in food insecurity between 2001–2017 by sex, race/ethnicity, income, and age. Adults participating in the National Health Interview Survey (NHIS) between 2011–2017 were included in the study. Food insecurity was dichotomized based on affirmative responses to the Food Security Survey Module. Statistical analysis included logistic regression to investigate trends in food insecurity over time by each demographic variable (age, sex, race/ethnicity, income) adjusted by survey year and demographic variables. After adjustment, those ages ≥65 years were 39% less likely (OR = 0.61, 95% CI [0.57,0.65]) to report food insecurity compared to those ages 18–34; females were 23% more likely to be food insecure than males (OR = 1.23, 95% CI [1.19,1.27]); non-Hispanic blacks were 1.7 times more likely (OR = 1.69, 95% CI [1.62,1.76]) to be food insecure than non-Hispanic whites; and a clear gradient existed by income, with lower incomes more likely to be food insecure. Disparities in food insecurity exist across age, race/ethnicity, sex, and income and were consistent over time. These results suggest that targeted programs may be necessary to decrease food insecurity in particularly vulnerable subpopulations, and barriers to access and use of existing programs need to be investigated.","container-title":"Population Health Management","DOI":"10.1089/pop.2020.0123","ISSN":"1942-7891","issue":"4","note":"publisher: Mary Ann Liebert, Inc., publishers","page":"496-501","source":"liebertpub.com (Atypon)","title":"Trends in Food Insecurity in the United States from 2011–2017: Disparities by Age, Sex, Race/Ethnicity, and Income","title-short":"Trends in Food Insecurity in the United States from 2011–2017","volume":"24","author":[{"family":"Walker","given":"Rebekah J."},{"family":"Garacci","given":"Emma"},{"family":"Dawson","given":"Aprill Z."},{"family":"Williams","given":"Joni S."},{"family":"Ozieh","given":"Mukoso"},{"family":"Egede","given":"Leonard E."}],"issued":{"date-parts":[["2021",8]]}}}],"schema":"https://github.com/citation-style-language/schema/raw/master/csl-citation.json"} </w:instrText>
      </w:r>
      <w:r w:rsidR="00BA5071">
        <w:fldChar w:fldCharType="separate"/>
      </w:r>
      <w:r w:rsidR="002A472A" w:rsidRPr="002A472A">
        <w:rPr>
          <w:kern w:val="0"/>
          <w:sz w:val="22"/>
          <w:vertAlign w:val="superscript"/>
        </w:rPr>
        <w:t>12</w:t>
      </w:r>
      <w:r w:rsidR="00BA5071">
        <w:fldChar w:fldCharType="end"/>
      </w:r>
      <w:r w:rsidR="432B95B6" w:rsidRPr="13D05368">
        <w:rPr>
          <w:rFonts w:eastAsia="Arial"/>
          <w:sz w:val="22"/>
        </w:rPr>
        <w:t xml:space="preserve"> </w:t>
      </w:r>
      <w:r w:rsidR="7234E7E4" w:rsidRPr="13D05368">
        <w:rPr>
          <w:rFonts w:eastAsia="Arial"/>
          <w:sz w:val="22"/>
        </w:rPr>
        <w:t xml:space="preserve">Further, households with incomes of less than $100,000 were significantly more likely to experience these </w:t>
      </w:r>
      <w:r w:rsidR="1E09131B" w:rsidRPr="13D05368">
        <w:rPr>
          <w:rFonts w:eastAsia="Arial"/>
          <w:sz w:val="22"/>
        </w:rPr>
        <w:t xml:space="preserve">perceived scarcity events </w:t>
      </w:r>
      <w:r w:rsidR="7234E7E4" w:rsidRPr="13D05368">
        <w:rPr>
          <w:rFonts w:eastAsia="Arial"/>
          <w:sz w:val="22"/>
        </w:rPr>
        <w:t>compared to those in higher-income strata.</w:t>
      </w:r>
      <w:r w:rsidR="5B2CB0FF" w:rsidRPr="13D05368">
        <w:rPr>
          <w:rFonts w:eastAsia="Arial"/>
          <w:sz w:val="22"/>
        </w:rPr>
        <w:t xml:space="preserve"> While there is potential for residual confounding </w:t>
      </w:r>
      <w:r w:rsidR="74A28E2D" w:rsidRPr="13D05368">
        <w:rPr>
          <w:rFonts w:eastAsia="Arial"/>
          <w:sz w:val="22"/>
        </w:rPr>
        <w:t xml:space="preserve">of associations </w:t>
      </w:r>
      <w:r w:rsidR="00723163" w:rsidRPr="13D05368">
        <w:rPr>
          <w:rFonts w:eastAsia="Arial"/>
          <w:sz w:val="22"/>
        </w:rPr>
        <w:t>between geographical location, race and ethnicity,</w:t>
      </w:r>
      <w:r w:rsidR="5B2CB0FF" w:rsidRPr="13D05368">
        <w:rPr>
          <w:rFonts w:eastAsia="Arial"/>
          <w:sz w:val="22"/>
        </w:rPr>
        <w:t xml:space="preserve"> </w:t>
      </w:r>
      <w:r w:rsidR="00723163" w:rsidRPr="13D05368">
        <w:rPr>
          <w:rFonts w:eastAsia="Arial"/>
          <w:sz w:val="22"/>
        </w:rPr>
        <w:t xml:space="preserve">and </w:t>
      </w:r>
      <w:r w:rsidR="4A47BAF5" w:rsidRPr="13D05368">
        <w:rPr>
          <w:rFonts w:eastAsia="Arial"/>
          <w:sz w:val="22"/>
        </w:rPr>
        <w:t>SES</w:t>
      </w:r>
      <w:r w:rsidR="00723163" w:rsidRPr="13D05368">
        <w:rPr>
          <w:rFonts w:eastAsia="Arial"/>
          <w:sz w:val="22"/>
        </w:rPr>
        <w:t xml:space="preserve">, </w:t>
      </w:r>
      <w:r w:rsidR="0E5A24EC" w:rsidRPr="13D05368">
        <w:rPr>
          <w:rFonts w:eastAsia="Arial"/>
          <w:sz w:val="22"/>
        </w:rPr>
        <w:t>given</w:t>
      </w:r>
      <w:r w:rsidR="1EF40175" w:rsidRPr="13D05368">
        <w:rPr>
          <w:rFonts w:eastAsia="Arial"/>
          <w:sz w:val="22"/>
        </w:rPr>
        <w:t xml:space="preserve"> the limited</w:t>
      </w:r>
      <w:r w:rsidR="2D0C894C" w:rsidRPr="13D05368">
        <w:rPr>
          <w:rFonts w:eastAsia="Arial"/>
          <w:sz w:val="22"/>
        </w:rPr>
        <w:t xml:space="preserve"> and categorical</w:t>
      </w:r>
      <w:r w:rsidR="1EF40175" w:rsidRPr="13D05368">
        <w:rPr>
          <w:rFonts w:eastAsia="Arial"/>
          <w:sz w:val="22"/>
        </w:rPr>
        <w:t xml:space="preserve"> nature of our income variable</w:t>
      </w:r>
      <w:r w:rsidR="0E5A24EC" w:rsidRPr="13D05368">
        <w:rPr>
          <w:rFonts w:eastAsia="Arial"/>
          <w:sz w:val="22"/>
        </w:rPr>
        <w:t xml:space="preserve">, </w:t>
      </w:r>
      <w:r w:rsidR="0C03F6C2" w:rsidRPr="13D05368">
        <w:rPr>
          <w:rFonts w:eastAsia="Arial"/>
          <w:sz w:val="22"/>
        </w:rPr>
        <w:t xml:space="preserve">the strength of the relationship between food security and race and ethnicity suggests </w:t>
      </w:r>
      <w:r w:rsidR="75DCF077" w:rsidRPr="13D05368">
        <w:rPr>
          <w:rFonts w:eastAsia="Arial"/>
          <w:sz w:val="22"/>
        </w:rPr>
        <w:t xml:space="preserve">that a significant </w:t>
      </w:r>
      <w:r w:rsidR="24D3D402" w:rsidRPr="13D05368">
        <w:rPr>
          <w:rFonts w:eastAsia="Arial"/>
          <w:sz w:val="22"/>
        </w:rPr>
        <w:t xml:space="preserve">income-independent </w:t>
      </w:r>
      <w:r w:rsidR="75DCF077" w:rsidRPr="13D05368">
        <w:rPr>
          <w:rFonts w:eastAsia="Arial"/>
          <w:sz w:val="22"/>
        </w:rPr>
        <w:t xml:space="preserve">barrier </w:t>
      </w:r>
      <w:r w:rsidR="43D695BA" w:rsidRPr="13D05368">
        <w:rPr>
          <w:rFonts w:eastAsia="Arial"/>
          <w:sz w:val="22"/>
        </w:rPr>
        <w:t xml:space="preserve">to food-security </w:t>
      </w:r>
      <w:r w:rsidR="75DCF077" w:rsidRPr="13D05368">
        <w:rPr>
          <w:rFonts w:eastAsia="Arial"/>
          <w:sz w:val="22"/>
        </w:rPr>
        <w:t>exists for these individuals</w:t>
      </w:r>
      <w:r w:rsidR="265F08FF" w:rsidRPr="13D05368">
        <w:rPr>
          <w:rFonts w:eastAsia="Arial"/>
          <w:sz w:val="22"/>
        </w:rPr>
        <w:t>.</w:t>
      </w:r>
    </w:p>
    <w:p w14:paraId="2C2C56C5" w14:textId="77777777" w:rsidR="00D16DD3" w:rsidRDefault="00D16DD3" w:rsidP="13D05368">
      <w:pPr>
        <w:rPr>
          <w:rFonts w:eastAsia="Arial"/>
          <w:sz w:val="22"/>
        </w:rPr>
      </w:pPr>
    </w:p>
    <w:p w14:paraId="50FEC897" w14:textId="7E725794" w:rsidR="005205DF" w:rsidRDefault="2B273DC8" w:rsidP="13D05368">
      <w:pPr>
        <w:rPr>
          <w:rFonts w:eastAsia="Arial"/>
          <w:sz w:val="22"/>
        </w:rPr>
      </w:pPr>
      <w:r w:rsidRPr="13D05368">
        <w:rPr>
          <w:rFonts w:eastAsia="Arial"/>
          <w:sz w:val="22"/>
        </w:rPr>
        <w:lastRenderedPageBreak/>
        <w:t>This study had several limitations. First</w:t>
      </w:r>
      <w:r w:rsidR="062E9840" w:rsidRPr="13D05368">
        <w:rPr>
          <w:rFonts w:eastAsia="Arial"/>
          <w:sz w:val="22"/>
        </w:rPr>
        <w:t xml:space="preserve">, the FORWARD cohort is representative of a population that may, on average, have higher access to specialty care than the underlying food-allergic population given </w:t>
      </w:r>
      <w:r w:rsidR="13B42D07" w:rsidRPr="13D05368">
        <w:rPr>
          <w:rFonts w:eastAsia="Arial"/>
          <w:sz w:val="22"/>
        </w:rPr>
        <w:t xml:space="preserve">inclusion </w:t>
      </w:r>
      <w:r w:rsidR="062E9840" w:rsidRPr="13D05368">
        <w:rPr>
          <w:rFonts w:eastAsia="Arial"/>
          <w:sz w:val="22"/>
        </w:rPr>
        <w:t>criteria requiring physician-diagnosed FA. However,</w:t>
      </w:r>
      <w:r w:rsidR="2BC97AD1" w:rsidRPr="13D05368">
        <w:rPr>
          <w:rFonts w:eastAsia="Arial"/>
          <w:sz w:val="22"/>
        </w:rPr>
        <w:t xml:space="preserve"> our sample </w:t>
      </w:r>
      <w:r w:rsidR="261ADE30" w:rsidRPr="13D05368">
        <w:rPr>
          <w:rFonts w:eastAsia="Arial"/>
          <w:sz w:val="22"/>
        </w:rPr>
        <w:t>demonstrate</w:t>
      </w:r>
      <w:r w:rsidR="7B61D860" w:rsidRPr="13D05368">
        <w:rPr>
          <w:rFonts w:eastAsia="Arial"/>
          <w:sz w:val="22"/>
        </w:rPr>
        <w:t xml:space="preserve">d </w:t>
      </w:r>
      <w:r w:rsidR="5A0F316C" w:rsidRPr="13D05368">
        <w:rPr>
          <w:rFonts w:eastAsia="Arial"/>
          <w:sz w:val="22"/>
        </w:rPr>
        <w:t xml:space="preserve">diversity across both socioeconomic status </w:t>
      </w:r>
      <w:r w:rsidR="2B360EA3" w:rsidRPr="13D05368">
        <w:rPr>
          <w:rFonts w:eastAsia="Arial"/>
          <w:sz w:val="22"/>
        </w:rPr>
        <w:t xml:space="preserve">and race and ethnicity </w:t>
      </w:r>
      <w:r w:rsidR="5A0F316C" w:rsidRPr="13D05368">
        <w:rPr>
          <w:rFonts w:eastAsia="Arial"/>
          <w:sz w:val="22"/>
        </w:rPr>
        <w:t>with almost half of the cohort</w:t>
      </w:r>
      <w:r w:rsidR="41FD26A4" w:rsidRPr="13D05368">
        <w:rPr>
          <w:rFonts w:eastAsia="Arial"/>
          <w:sz w:val="22"/>
        </w:rPr>
        <w:t xml:space="preserve"> reporting household incomes of less than $100,000 and </w:t>
      </w:r>
      <w:r w:rsidR="6E116A78" w:rsidRPr="13D05368">
        <w:rPr>
          <w:rFonts w:eastAsia="Arial"/>
          <w:sz w:val="22"/>
        </w:rPr>
        <w:t xml:space="preserve">more than 40% of the cohort identifying as NHB or H/L. </w:t>
      </w:r>
      <w:r w:rsidR="7165D09D" w:rsidRPr="13D05368">
        <w:rPr>
          <w:rFonts w:eastAsia="Arial"/>
          <w:sz w:val="22"/>
        </w:rPr>
        <w:t xml:space="preserve">Second, we estimated annualized OOP costs for diet, </w:t>
      </w:r>
      <w:r w:rsidR="00754B54" w:rsidRPr="13D05368">
        <w:rPr>
          <w:rFonts w:eastAsia="Arial"/>
          <w:sz w:val="22"/>
        </w:rPr>
        <w:t>EAI</w:t>
      </w:r>
      <w:r w:rsidR="7165D09D" w:rsidRPr="13D05368">
        <w:rPr>
          <w:rFonts w:eastAsia="Arial"/>
          <w:sz w:val="22"/>
        </w:rPr>
        <w:t>, and antihistamines</w:t>
      </w:r>
      <w:r w:rsidR="79547890" w:rsidRPr="13D05368">
        <w:rPr>
          <w:rFonts w:eastAsia="Arial"/>
          <w:sz w:val="22"/>
        </w:rPr>
        <w:t xml:space="preserve"> based on a cost value and frequency reported by the participant, however, this may not be </w:t>
      </w:r>
      <w:r w:rsidR="0759FF7E" w:rsidRPr="13D05368">
        <w:rPr>
          <w:rFonts w:eastAsia="Arial"/>
          <w:sz w:val="22"/>
        </w:rPr>
        <w:t xml:space="preserve">directly </w:t>
      </w:r>
      <w:r w:rsidR="79547890" w:rsidRPr="13D05368">
        <w:rPr>
          <w:rFonts w:eastAsia="Arial"/>
          <w:sz w:val="22"/>
        </w:rPr>
        <w:t>proportional to the true annualized cost as was assumed.</w:t>
      </w:r>
      <w:r w:rsidR="2BC5B1B8" w:rsidRPr="13D05368">
        <w:rPr>
          <w:rFonts w:eastAsia="Arial"/>
          <w:sz w:val="22"/>
        </w:rPr>
        <w:t xml:space="preserve"> Finally, model misspecification, residual and unmeasured confounding may threaten </w:t>
      </w:r>
      <w:r w:rsidR="08175649" w:rsidRPr="13D05368">
        <w:rPr>
          <w:rFonts w:eastAsia="Arial"/>
          <w:sz w:val="22"/>
        </w:rPr>
        <w:t xml:space="preserve">our </w:t>
      </w:r>
      <w:r w:rsidR="0ABFEEB3" w:rsidRPr="13D05368">
        <w:rPr>
          <w:rFonts w:eastAsia="Arial"/>
          <w:sz w:val="22"/>
        </w:rPr>
        <w:t>inferences,</w:t>
      </w:r>
      <w:r w:rsidR="08175649" w:rsidRPr="13D05368">
        <w:rPr>
          <w:rFonts w:eastAsia="Arial"/>
          <w:sz w:val="22"/>
        </w:rPr>
        <w:t xml:space="preserve"> but we found that the models and the conclusions were robust to </w:t>
      </w:r>
      <w:r w:rsidR="5E0B67A4" w:rsidRPr="13D05368">
        <w:rPr>
          <w:rFonts w:eastAsia="Arial"/>
          <w:sz w:val="22"/>
        </w:rPr>
        <w:t>alternative parameterizations</w:t>
      </w:r>
      <w:r w:rsidR="6BE0D6DF" w:rsidRPr="13D05368">
        <w:rPr>
          <w:rFonts w:eastAsia="Arial"/>
          <w:sz w:val="22"/>
        </w:rPr>
        <w:t>.</w:t>
      </w:r>
    </w:p>
    <w:p w14:paraId="6BB1B6FE" w14:textId="5A1A5398" w:rsidR="6CC28005" w:rsidRDefault="6CC28005" w:rsidP="13D05368">
      <w:pPr>
        <w:rPr>
          <w:rFonts w:eastAsia="Arial"/>
          <w:sz w:val="22"/>
        </w:rPr>
      </w:pPr>
    </w:p>
    <w:p w14:paraId="33366F17" w14:textId="1ECF5FB5" w:rsidR="00272ED0" w:rsidRPr="009B2F91" w:rsidRDefault="155C215E" w:rsidP="13D05368">
      <w:pPr>
        <w:rPr>
          <w:rFonts w:eastAsia="Arial"/>
          <w:sz w:val="22"/>
        </w:rPr>
      </w:pPr>
      <w:r w:rsidRPr="13D05368">
        <w:rPr>
          <w:rFonts w:eastAsia="Arial"/>
          <w:b/>
          <w:bCs/>
          <w:sz w:val="22"/>
        </w:rPr>
        <w:t>Conclusion:</w:t>
      </w:r>
      <w:r w:rsidR="25E4B878" w:rsidRPr="13D05368">
        <w:rPr>
          <w:rFonts w:eastAsia="Arial"/>
          <w:sz w:val="22"/>
        </w:rPr>
        <w:t xml:space="preserve"> </w:t>
      </w:r>
      <w:r w:rsidR="2C044DD1" w:rsidRPr="13D05368">
        <w:rPr>
          <w:rFonts w:eastAsia="Arial"/>
          <w:sz w:val="22"/>
        </w:rPr>
        <w:t>W</w:t>
      </w:r>
      <w:r w:rsidR="25E4B878" w:rsidRPr="13D05368">
        <w:rPr>
          <w:rFonts w:eastAsia="Arial"/>
          <w:sz w:val="22"/>
        </w:rPr>
        <w:t>e investigated the out-of-pocket costs and related economic burden of childhood FA in a di</w:t>
      </w:r>
      <w:r w:rsidR="684CAEF5" w:rsidRPr="13D05368">
        <w:rPr>
          <w:rFonts w:eastAsia="Arial"/>
          <w:sz w:val="22"/>
        </w:rPr>
        <w:t>verse cohort of children.</w:t>
      </w:r>
      <w:r w:rsidR="738F89B0" w:rsidRPr="13D05368">
        <w:rPr>
          <w:rFonts w:eastAsia="Arial"/>
          <w:sz w:val="22"/>
        </w:rPr>
        <w:t xml:space="preserve"> We found that</w:t>
      </w:r>
      <w:r w:rsidR="684CAEF5" w:rsidRPr="13D05368">
        <w:rPr>
          <w:rFonts w:eastAsia="Arial"/>
          <w:sz w:val="22"/>
        </w:rPr>
        <w:t xml:space="preserve"> </w:t>
      </w:r>
      <w:r w:rsidR="738F89B0" w:rsidRPr="13D05368">
        <w:rPr>
          <w:rFonts w:eastAsia="Arial"/>
          <w:sz w:val="22"/>
        </w:rPr>
        <w:t xml:space="preserve">diet contributed to the largest share of </w:t>
      </w:r>
      <w:r w:rsidR="684CAEF5" w:rsidRPr="13D05368">
        <w:rPr>
          <w:rFonts w:eastAsia="Arial"/>
          <w:sz w:val="22"/>
        </w:rPr>
        <w:t>OOP</w:t>
      </w:r>
      <w:r w:rsidR="478BE23A" w:rsidRPr="13D05368">
        <w:rPr>
          <w:rFonts w:eastAsia="Arial"/>
          <w:sz w:val="22"/>
        </w:rPr>
        <w:t xml:space="preserve"> spending </w:t>
      </w:r>
      <w:r w:rsidR="738F89B0" w:rsidRPr="13D05368">
        <w:rPr>
          <w:rFonts w:eastAsia="Arial"/>
          <w:sz w:val="22"/>
        </w:rPr>
        <w:t>and these costs were highe</w:t>
      </w:r>
      <w:r w:rsidR="4CA39043" w:rsidRPr="13D05368">
        <w:rPr>
          <w:rFonts w:eastAsia="Arial"/>
          <w:sz w:val="22"/>
        </w:rPr>
        <w:t>st</w:t>
      </w:r>
      <w:r w:rsidR="738F89B0" w:rsidRPr="13D05368">
        <w:rPr>
          <w:rFonts w:eastAsia="Arial"/>
          <w:sz w:val="22"/>
        </w:rPr>
        <w:t xml:space="preserve"> for</w:t>
      </w:r>
      <w:r w:rsidR="39F8BC34" w:rsidRPr="13D05368">
        <w:rPr>
          <w:rFonts w:eastAsia="Arial"/>
          <w:sz w:val="22"/>
        </w:rPr>
        <w:t xml:space="preserve"> H/L children</w:t>
      </w:r>
      <w:r w:rsidR="478BE23A" w:rsidRPr="13D05368">
        <w:rPr>
          <w:rFonts w:eastAsia="Arial"/>
          <w:sz w:val="22"/>
        </w:rPr>
        <w:t xml:space="preserve">. </w:t>
      </w:r>
      <w:r w:rsidR="39F8BC34" w:rsidRPr="13D05368">
        <w:rPr>
          <w:rFonts w:eastAsia="Arial"/>
          <w:sz w:val="22"/>
        </w:rPr>
        <w:t>NHB children were less likely to incur OOP costs for diet and antihistamines, possibly indicating underutilization of these resources.</w:t>
      </w:r>
      <w:r w:rsidR="40F04A42" w:rsidRPr="13D05368">
        <w:rPr>
          <w:rFonts w:eastAsia="Arial"/>
          <w:sz w:val="22"/>
        </w:rPr>
        <w:t xml:space="preserve"> Missed workdays and job-related changes were largely driven by the child’s age and </w:t>
      </w:r>
      <w:r w:rsidR="12248DD9" w:rsidRPr="13D05368">
        <w:rPr>
          <w:rFonts w:eastAsia="Arial"/>
          <w:sz w:val="22"/>
        </w:rPr>
        <w:t xml:space="preserve">their </w:t>
      </w:r>
      <w:r w:rsidR="40F04A42" w:rsidRPr="13D05368">
        <w:rPr>
          <w:rFonts w:eastAsia="Arial"/>
          <w:sz w:val="22"/>
        </w:rPr>
        <w:t>medical, nutritional, or mental health needs due to FA</w:t>
      </w:r>
      <w:r w:rsidR="12248DD9" w:rsidRPr="13D05368">
        <w:rPr>
          <w:rFonts w:eastAsia="Arial"/>
          <w:sz w:val="22"/>
        </w:rPr>
        <w:t xml:space="preserve"> and food security was found to disproportionally affect NHB and H/L children even after </w:t>
      </w:r>
      <w:r w:rsidR="738F89B0" w:rsidRPr="13D05368">
        <w:rPr>
          <w:rFonts w:eastAsia="Arial"/>
          <w:sz w:val="22"/>
        </w:rPr>
        <w:t>adjustment for household income.</w:t>
      </w:r>
      <w:r w:rsidR="4BC37033" w:rsidRPr="13D05368">
        <w:rPr>
          <w:rFonts w:eastAsia="Arial"/>
          <w:sz w:val="22"/>
        </w:rPr>
        <w:t xml:space="preserve"> These findings </w:t>
      </w:r>
      <w:r w:rsidR="3C66D812" w:rsidRPr="13D05368">
        <w:rPr>
          <w:rFonts w:eastAsia="Arial"/>
          <w:sz w:val="22"/>
        </w:rPr>
        <w:t>propose</w:t>
      </w:r>
      <w:r w:rsidR="4BC37033" w:rsidRPr="13D05368">
        <w:rPr>
          <w:rFonts w:eastAsia="Arial"/>
          <w:sz w:val="22"/>
        </w:rPr>
        <w:t xml:space="preserve"> multiple opportunities for further policy action to increase </w:t>
      </w:r>
      <w:r w:rsidR="438112A3" w:rsidRPr="13D05368">
        <w:rPr>
          <w:rFonts w:eastAsia="Arial"/>
          <w:sz w:val="22"/>
        </w:rPr>
        <w:t xml:space="preserve">education of and </w:t>
      </w:r>
      <w:r w:rsidR="4BC37033" w:rsidRPr="13D05368">
        <w:rPr>
          <w:rFonts w:eastAsia="Arial"/>
          <w:sz w:val="22"/>
        </w:rPr>
        <w:t xml:space="preserve">access to definitive treatment for FA, </w:t>
      </w:r>
      <w:r w:rsidR="76217B4A" w:rsidRPr="13D05368">
        <w:rPr>
          <w:rFonts w:eastAsia="Arial"/>
          <w:sz w:val="22"/>
        </w:rPr>
        <w:t xml:space="preserve">implement </w:t>
      </w:r>
      <w:r w:rsidR="365CD8B8" w:rsidRPr="13D05368">
        <w:rPr>
          <w:rFonts w:eastAsia="Arial"/>
          <w:sz w:val="22"/>
        </w:rPr>
        <w:t xml:space="preserve">subsidies for allergen-free foods, and </w:t>
      </w:r>
      <w:r w:rsidR="51B24E7B" w:rsidRPr="13D05368">
        <w:rPr>
          <w:rFonts w:eastAsia="Arial"/>
          <w:sz w:val="22"/>
        </w:rPr>
        <w:t xml:space="preserve">encourage workplaces to accommodate workers </w:t>
      </w:r>
      <w:r w:rsidR="25AC98B3" w:rsidRPr="13D05368">
        <w:rPr>
          <w:rFonts w:eastAsia="Arial"/>
          <w:sz w:val="22"/>
        </w:rPr>
        <w:t>managing FA within their household</w:t>
      </w:r>
      <w:r w:rsidR="51B24E7B" w:rsidRPr="13D05368">
        <w:rPr>
          <w:rFonts w:eastAsia="Arial"/>
          <w:sz w:val="22"/>
        </w:rPr>
        <w:t>.</w:t>
      </w:r>
    </w:p>
    <w:p w14:paraId="5C187D71" w14:textId="6DA005EB" w:rsidR="004A351F" w:rsidRDefault="004A351F" w:rsidP="13D05368">
      <w:pPr>
        <w:rPr>
          <w:rFonts w:eastAsia="Arial"/>
          <w:sz w:val="22"/>
        </w:rPr>
      </w:pPr>
    </w:p>
    <w:p w14:paraId="2901AC40" w14:textId="6FC26EF7" w:rsidR="004A351F" w:rsidRDefault="004A351F" w:rsidP="13D05368">
      <w:pPr>
        <w:rPr>
          <w:rFonts w:eastAsia="Arial"/>
          <w:sz w:val="22"/>
        </w:rPr>
      </w:pPr>
    </w:p>
    <w:p w14:paraId="62392D28" w14:textId="45AA7BFE" w:rsidR="004A351F" w:rsidRDefault="00AE6783" w:rsidP="13D05368">
      <w:pPr>
        <w:rPr>
          <w:rFonts w:eastAsia="Arial"/>
          <w:sz w:val="22"/>
        </w:rPr>
      </w:pPr>
      <w:r>
        <w:rPr>
          <w:rFonts w:eastAsia="Arial"/>
          <w:sz w:val="22"/>
        </w:rPr>
        <w:br w:type="page"/>
      </w:r>
    </w:p>
    <w:p w14:paraId="07D2EEAD" w14:textId="2AC330C5" w:rsidR="004A351F" w:rsidRDefault="26207899" w:rsidP="13D05368">
      <w:pPr>
        <w:rPr>
          <w:rFonts w:eastAsia="Arial"/>
          <w:color w:val="000000" w:themeColor="text1"/>
          <w:sz w:val="22"/>
        </w:rPr>
      </w:pPr>
      <w:r w:rsidRPr="13D05368">
        <w:rPr>
          <w:rFonts w:eastAsia="Arial"/>
          <w:color w:val="000000" w:themeColor="text1"/>
          <w:sz w:val="22"/>
        </w:rPr>
        <w:lastRenderedPageBreak/>
        <w:t>Table 1. Characteristics of FORWARD economic burden sample (n=390)</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2250"/>
      </w:tblGrid>
      <w:tr w:rsidR="13D05368" w14:paraId="16C256B4" w14:textId="77777777" w:rsidTr="13D05368">
        <w:trPr>
          <w:trHeight w:val="300"/>
        </w:trPr>
        <w:tc>
          <w:tcPr>
            <w:tcW w:w="2850" w:type="dxa"/>
            <w:tcBorders>
              <w:top w:val="nil"/>
              <w:left w:val="nil"/>
              <w:bottom w:val="nil"/>
              <w:right w:val="nil"/>
            </w:tcBorders>
            <w:tcMar>
              <w:left w:w="105" w:type="dxa"/>
              <w:right w:w="105" w:type="dxa"/>
            </w:tcMar>
            <w:vAlign w:val="bottom"/>
          </w:tcPr>
          <w:p w14:paraId="4247804F" w14:textId="7E9C4AA7" w:rsidR="13D05368" w:rsidRDefault="13D05368" w:rsidP="13D05368">
            <w:pPr>
              <w:rPr>
                <w:rFonts w:eastAsia="Arial"/>
                <w:sz w:val="22"/>
              </w:rPr>
            </w:pPr>
          </w:p>
        </w:tc>
        <w:tc>
          <w:tcPr>
            <w:tcW w:w="2250" w:type="dxa"/>
            <w:tcBorders>
              <w:top w:val="nil"/>
              <w:left w:val="nil"/>
              <w:bottom w:val="nil"/>
              <w:right w:val="nil"/>
            </w:tcBorders>
            <w:tcMar>
              <w:left w:w="105" w:type="dxa"/>
              <w:right w:w="105" w:type="dxa"/>
            </w:tcMar>
            <w:vAlign w:val="bottom"/>
          </w:tcPr>
          <w:p w14:paraId="4F6BA477" w14:textId="2EB5B0E2" w:rsidR="13D05368" w:rsidRDefault="13D05368" w:rsidP="13D05368">
            <w:pPr>
              <w:rPr>
                <w:rFonts w:eastAsia="Arial"/>
                <w:sz w:val="22"/>
              </w:rPr>
            </w:pPr>
            <w:r w:rsidRPr="13D05368">
              <w:rPr>
                <w:rFonts w:eastAsia="Arial"/>
                <w:sz w:val="22"/>
              </w:rPr>
              <w:t>Total</w:t>
            </w:r>
          </w:p>
        </w:tc>
      </w:tr>
      <w:tr w:rsidR="13D05368" w14:paraId="02BA9A7E" w14:textId="77777777" w:rsidTr="13D05368">
        <w:trPr>
          <w:trHeight w:val="300"/>
        </w:trPr>
        <w:tc>
          <w:tcPr>
            <w:tcW w:w="2850" w:type="dxa"/>
            <w:tcBorders>
              <w:top w:val="nil"/>
              <w:left w:val="nil"/>
              <w:bottom w:val="nil"/>
              <w:right w:val="nil"/>
            </w:tcBorders>
            <w:tcMar>
              <w:left w:w="105" w:type="dxa"/>
              <w:right w:w="105" w:type="dxa"/>
            </w:tcMar>
            <w:vAlign w:val="bottom"/>
          </w:tcPr>
          <w:p w14:paraId="775F5373" w14:textId="0C58B5A2" w:rsidR="13D05368" w:rsidRDefault="13D05368" w:rsidP="13D05368">
            <w:pPr>
              <w:rPr>
                <w:rFonts w:eastAsia="Arial"/>
                <w:sz w:val="22"/>
              </w:rPr>
            </w:pPr>
          </w:p>
        </w:tc>
        <w:tc>
          <w:tcPr>
            <w:tcW w:w="2250" w:type="dxa"/>
            <w:tcBorders>
              <w:top w:val="nil"/>
              <w:left w:val="nil"/>
              <w:bottom w:val="nil"/>
              <w:right w:val="nil"/>
            </w:tcBorders>
            <w:tcMar>
              <w:left w:w="105" w:type="dxa"/>
              <w:right w:w="105" w:type="dxa"/>
            </w:tcMar>
            <w:vAlign w:val="bottom"/>
          </w:tcPr>
          <w:p w14:paraId="27450523" w14:textId="177FA841" w:rsidR="13D05368" w:rsidRDefault="13D05368" w:rsidP="13D05368">
            <w:pPr>
              <w:rPr>
                <w:rFonts w:eastAsia="Arial"/>
                <w:sz w:val="22"/>
              </w:rPr>
            </w:pPr>
            <w:r w:rsidRPr="13D05368">
              <w:rPr>
                <w:rFonts w:eastAsia="Arial"/>
                <w:sz w:val="22"/>
              </w:rPr>
              <w:t>N=390</w:t>
            </w:r>
          </w:p>
        </w:tc>
      </w:tr>
      <w:tr w:rsidR="13D05368" w14:paraId="12573A0D" w14:textId="77777777" w:rsidTr="13D05368">
        <w:trPr>
          <w:trHeight w:val="300"/>
        </w:trPr>
        <w:tc>
          <w:tcPr>
            <w:tcW w:w="2850" w:type="dxa"/>
            <w:tcBorders>
              <w:top w:val="nil"/>
              <w:left w:val="nil"/>
              <w:bottom w:val="nil"/>
              <w:right w:val="nil"/>
            </w:tcBorders>
            <w:tcMar>
              <w:left w:w="105" w:type="dxa"/>
              <w:right w:w="105" w:type="dxa"/>
            </w:tcMar>
            <w:vAlign w:val="bottom"/>
          </w:tcPr>
          <w:p w14:paraId="0C3AFC42" w14:textId="2DCE99DF" w:rsidR="13D05368" w:rsidRDefault="13D05368" w:rsidP="13D05368">
            <w:pPr>
              <w:rPr>
                <w:rFonts w:eastAsia="Arial"/>
                <w:sz w:val="22"/>
              </w:rPr>
            </w:pPr>
            <w:r w:rsidRPr="13D05368">
              <w:rPr>
                <w:rFonts w:eastAsia="Arial"/>
                <w:sz w:val="22"/>
              </w:rPr>
              <w:t>Enrollment Site</w:t>
            </w:r>
          </w:p>
        </w:tc>
        <w:tc>
          <w:tcPr>
            <w:tcW w:w="2250" w:type="dxa"/>
            <w:tcBorders>
              <w:top w:val="nil"/>
              <w:left w:val="nil"/>
              <w:bottom w:val="nil"/>
              <w:right w:val="nil"/>
            </w:tcBorders>
            <w:tcMar>
              <w:left w:w="105" w:type="dxa"/>
              <w:right w:w="105" w:type="dxa"/>
            </w:tcMar>
            <w:vAlign w:val="bottom"/>
          </w:tcPr>
          <w:p w14:paraId="14706141" w14:textId="237FBB73" w:rsidR="13D05368" w:rsidRDefault="13D05368" w:rsidP="13D05368">
            <w:pPr>
              <w:rPr>
                <w:rFonts w:eastAsia="Arial"/>
                <w:sz w:val="22"/>
              </w:rPr>
            </w:pPr>
          </w:p>
        </w:tc>
      </w:tr>
      <w:tr w:rsidR="13D05368" w14:paraId="2416316A" w14:textId="77777777" w:rsidTr="13D05368">
        <w:trPr>
          <w:trHeight w:val="300"/>
        </w:trPr>
        <w:tc>
          <w:tcPr>
            <w:tcW w:w="2850" w:type="dxa"/>
            <w:tcBorders>
              <w:top w:val="nil"/>
              <w:left w:val="nil"/>
              <w:bottom w:val="nil"/>
              <w:right w:val="nil"/>
            </w:tcBorders>
            <w:tcMar>
              <w:left w:w="105" w:type="dxa"/>
              <w:right w:w="105" w:type="dxa"/>
            </w:tcMar>
            <w:vAlign w:val="bottom"/>
          </w:tcPr>
          <w:p w14:paraId="7ACFF846" w14:textId="6091BB30" w:rsidR="13D05368" w:rsidRDefault="13D05368" w:rsidP="13D05368">
            <w:pPr>
              <w:rPr>
                <w:rFonts w:eastAsia="Arial"/>
                <w:sz w:val="22"/>
              </w:rPr>
            </w:pPr>
            <w:r w:rsidRPr="13D05368">
              <w:rPr>
                <w:rFonts w:eastAsia="Arial"/>
                <w:sz w:val="22"/>
              </w:rPr>
              <w:t xml:space="preserve">   Northwestern/Lurie</w:t>
            </w:r>
          </w:p>
        </w:tc>
        <w:tc>
          <w:tcPr>
            <w:tcW w:w="2250" w:type="dxa"/>
            <w:tcBorders>
              <w:top w:val="nil"/>
              <w:left w:val="nil"/>
              <w:bottom w:val="nil"/>
              <w:right w:val="nil"/>
            </w:tcBorders>
            <w:tcMar>
              <w:left w:w="105" w:type="dxa"/>
              <w:right w:w="105" w:type="dxa"/>
            </w:tcMar>
            <w:vAlign w:val="bottom"/>
          </w:tcPr>
          <w:p w14:paraId="2C5F6D57" w14:textId="650684F6" w:rsidR="13D05368" w:rsidRDefault="13D05368" w:rsidP="13D05368">
            <w:pPr>
              <w:rPr>
                <w:rFonts w:eastAsia="Arial"/>
                <w:sz w:val="22"/>
              </w:rPr>
            </w:pPr>
            <w:r w:rsidRPr="13D05368">
              <w:rPr>
                <w:rFonts w:eastAsia="Arial"/>
                <w:sz w:val="22"/>
              </w:rPr>
              <w:t>146 (37.4%)</w:t>
            </w:r>
          </w:p>
        </w:tc>
      </w:tr>
      <w:tr w:rsidR="13D05368" w14:paraId="481AC0FD" w14:textId="77777777" w:rsidTr="13D05368">
        <w:trPr>
          <w:trHeight w:val="300"/>
        </w:trPr>
        <w:tc>
          <w:tcPr>
            <w:tcW w:w="2850" w:type="dxa"/>
            <w:tcBorders>
              <w:top w:val="nil"/>
              <w:left w:val="nil"/>
              <w:bottom w:val="nil"/>
              <w:right w:val="nil"/>
            </w:tcBorders>
            <w:tcMar>
              <w:left w:w="105" w:type="dxa"/>
              <w:right w:w="105" w:type="dxa"/>
            </w:tcMar>
            <w:vAlign w:val="bottom"/>
          </w:tcPr>
          <w:p w14:paraId="7260EC23" w14:textId="46DBA441" w:rsidR="13D05368" w:rsidRDefault="13D05368" w:rsidP="13D05368">
            <w:pPr>
              <w:rPr>
                <w:rFonts w:eastAsia="Arial"/>
                <w:sz w:val="22"/>
              </w:rPr>
            </w:pPr>
            <w:r w:rsidRPr="13D05368">
              <w:rPr>
                <w:rFonts w:eastAsia="Arial"/>
                <w:sz w:val="22"/>
              </w:rPr>
              <w:t xml:space="preserve">   </w:t>
            </w:r>
            <w:r w:rsidR="001002ED" w:rsidRPr="13D05368">
              <w:rPr>
                <w:rFonts w:eastAsia="Arial"/>
                <w:sz w:val="22"/>
              </w:rPr>
              <w:t>Cincinnati</w:t>
            </w:r>
            <w:r w:rsidRPr="13D05368">
              <w:rPr>
                <w:rFonts w:eastAsia="Arial"/>
                <w:sz w:val="22"/>
              </w:rPr>
              <w:t xml:space="preserve"> Children's</w:t>
            </w:r>
          </w:p>
        </w:tc>
        <w:tc>
          <w:tcPr>
            <w:tcW w:w="2250" w:type="dxa"/>
            <w:tcBorders>
              <w:top w:val="nil"/>
              <w:left w:val="nil"/>
              <w:bottom w:val="nil"/>
              <w:right w:val="nil"/>
            </w:tcBorders>
            <w:tcMar>
              <w:left w:w="105" w:type="dxa"/>
              <w:right w:w="105" w:type="dxa"/>
            </w:tcMar>
            <w:vAlign w:val="bottom"/>
          </w:tcPr>
          <w:p w14:paraId="7DEFE7E6" w14:textId="3F5D5EDB" w:rsidR="13D05368" w:rsidRDefault="13D05368" w:rsidP="13D05368">
            <w:pPr>
              <w:rPr>
                <w:rFonts w:eastAsia="Arial"/>
                <w:sz w:val="22"/>
              </w:rPr>
            </w:pPr>
            <w:r w:rsidRPr="13D05368">
              <w:rPr>
                <w:rFonts w:eastAsia="Arial"/>
                <w:sz w:val="22"/>
              </w:rPr>
              <w:t>100 (25.6%)</w:t>
            </w:r>
          </w:p>
        </w:tc>
      </w:tr>
      <w:tr w:rsidR="13D05368" w14:paraId="6AEF360D" w14:textId="77777777" w:rsidTr="13D05368">
        <w:trPr>
          <w:trHeight w:val="300"/>
        </w:trPr>
        <w:tc>
          <w:tcPr>
            <w:tcW w:w="2850" w:type="dxa"/>
            <w:tcBorders>
              <w:top w:val="nil"/>
              <w:left w:val="nil"/>
              <w:bottom w:val="nil"/>
              <w:right w:val="nil"/>
            </w:tcBorders>
            <w:tcMar>
              <w:left w:w="105" w:type="dxa"/>
              <w:right w:w="105" w:type="dxa"/>
            </w:tcMar>
            <w:vAlign w:val="bottom"/>
          </w:tcPr>
          <w:p w14:paraId="2DA72B06" w14:textId="54F6EF36" w:rsidR="13D05368" w:rsidRDefault="13D05368" w:rsidP="13D05368">
            <w:pPr>
              <w:rPr>
                <w:rFonts w:eastAsia="Arial"/>
                <w:sz w:val="22"/>
              </w:rPr>
            </w:pPr>
            <w:r w:rsidRPr="13D05368">
              <w:rPr>
                <w:rFonts w:eastAsia="Arial"/>
                <w:sz w:val="22"/>
              </w:rPr>
              <w:t xml:space="preserve">   Children's National D.C.</w:t>
            </w:r>
          </w:p>
        </w:tc>
        <w:tc>
          <w:tcPr>
            <w:tcW w:w="2250" w:type="dxa"/>
            <w:tcBorders>
              <w:top w:val="nil"/>
              <w:left w:val="nil"/>
              <w:bottom w:val="nil"/>
              <w:right w:val="nil"/>
            </w:tcBorders>
            <w:tcMar>
              <w:left w:w="105" w:type="dxa"/>
              <w:right w:w="105" w:type="dxa"/>
            </w:tcMar>
            <w:vAlign w:val="bottom"/>
          </w:tcPr>
          <w:p w14:paraId="13D76866" w14:textId="7444B1CF" w:rsidR="13D05368" w:rsidRDefault="13D05368" w:rsidP="13D05368">
            <w:pPr>
              <w:rPr>
                <w:rFonts w:eastAsia="Arial"/>
                <w:sz w:val="22"/>
              </w:rPr>
            </w:pPr>
            <w:r w:rsidRPr="13D05368">
              <w:rPr>
                <w:rFonts w:eastAsia="Arial"/>
                <w:sz w:val="22"/>
              </w:rPr>
              <w:t>89 (22.8%)</w:t>
            </w:r>
          </w:p>
        </w:tc>
      </w:tr>
      <w:tr w:rsidR="13D05368" w14:paraId="33852423" w14:textId="77777777" w:rsidTr="13D05368">
        <w:trPr>
          <w:trHeight w:val="300"/>
        </w:trPr>
        <w:tc>
          <w:tcPr>
            <w:tcW w:w="2850" w:type="dxa"/>
            <w:tcBorders>
              <w:top w:val="nil"/>
              <w:left w:val="nil"/>
              <w:bottom w:val="nil"/>
              <w:right w:val="nil"/>
            </w:tcBorders>
            <w:tcMar>
              <w:left w:w="105" w:type="dxa"/>
              <w:right w:w="105" w:type="dxa"/>
            </w:tcMar>
            <w:vAlign w:val="bottom"/>
          </w:tcPr>
          <w:p w14:paraId="663334F9" w14:textId="565A2CED" w:rsidR="13D05368" w:rsidRDefault="13D05368" w:rsidP="13D05368">
            <w:pPr>
              <w:rPr>
                <w:rFonts w:eastAsia="Arial"/>
                <w:sz w:val="22"/>
              </w:rPr>
            </w:pPr>
            <w:r w:rsidRPr="13D05368">
              <w:rPr>
                <w:rFonts w:eastAsia="Arial"/>
                <w:sz w:val="22"/>
              </w:rPr>
              <w:t xml:space="preserve">   Rush Children's</w:t>
            </w:r>
          </w:p>
        </w:tc>
        <w:tc>
          <w:tcPr>
            <w:tcW w:w="2250" w:type="dxa"/>
            <w:tcBorders>
              <w:top w:val="nil"/>
              <w:left w:val="nil"/>
              <w:bottom w:val="nil"/>
              <w:right w:val="nil"/>
            </w:tcBorders>
            <w:tcMar>
              <w:left w:w="105" w:type="dxa"/>
              <w:right w:w="105" w:type="dxa"/>
            </w:tcMar>
            <w:vAlign w:val="bottom"/>
          </w:tcPr>
          <w:p w14:paraId="7E14A2AC" w14:textId="63369024" w:rsidR="13D05368" w:rsidRDefault="13D05368" w:rsidP="13D05368">
            <w:pPr>
              <w:rPr>
                <w:rFonts w:eastAsia="Arial"/>
                <w:sz w:val="22"/>
              </w:rPr>
            </w:pPr>
            <w:r w:rsidRPr="13D05368">
              <w:rPr>
                <w:rFonts w:eastAsia="Arial"/>
                <w:sz w:val="22"/>
              </w:rPr>
              <w:t>55 (14.1%)</w:t>
            </w:r>
          </w:p>
        </w:tc>
      </w:tr>
      <w:tr w:rsidR="13D05368" w14:paraId="14B92D9C" w14:textId="77777777" w:rsidTr="13D05368">
        <w:trPr>
          <w:trHeight w:val="300"/>
        </w:trPr>
        <w:tc>
          <w:tcPr>
            <w:tcW w:w="2850" w:type="dxa"/>
            <w:tcBorders>
              <w:top w:val="nil"/>
              <w:left w:val="nil"/>
              <w:bottom w:val="nil"/>
              <w:right w:val="nil"/>
            </w:tcBorders>
            <w:tcMar>
              <w:left w:w="105" w:type="dxa"/>
              <w:right w:w="105" w:type="dxa"/>
            </w:tcMar>
            <w:vAlign w:val="bottom"/>
          </w:tcPr>
          <w:p w14:paraId="470A7905" w14:textId="7BACFFDD" w:rsidR="13D05368" w:rsidRDefault="13D05368" w:rsidP="13D05368">
            <w:pPr>
              <w:rPr>
                <w:rFonts w:eastAsia="Arial"/>
                <w:sz w:val="22"/>
              </w:rPr>
            </w:pPr>
            <w:r w:rsidRPr="13D05368">
              <w:rPr>
                <w:rFonts w:eastAsia="Arial"/>
                <w:sz w:val="22"/>
              </w:rPr>
              <w:t>Race/Ethnicity</w:t>
            </w:r>
          </w:p>
        </w:tc>
        <w:tc>
          <w:tcPr>
            <w:tcW w:w="2250" w:type="dxa"/>
            <w:tcBorders>
              <w:top w:val="nil"/>
              <w:left w:val="nil"/>
              <w:bottom w:val="nil"/>
              <w:right w:val="nil"/>
            </w:tcBorders>
            <w:tcMar>
              <w:left w:w="105" w:type="dxa"/>
              <w:right w:w="105" w:type="dxa"/>
            </w:tcMar>
            <w:vAlign w:val="bottom"/>
          </w:tcPr>
          <w:p w14:paraId="51903FCA" w14:textId="4FB042E4" w:rsidR="13D05368" w:rsidRDefault="13D05368" w:rsidP="13D05368">
            <w:pPr>
              <w:rPr>
                <w:rFonts w:eastAsia="Arial"/>
                <w:sz w:val="22"/>
              </w:rPr>
            </w:pPr>
          </w:p>
        </w:tc>
      </w:tr>
      <w:tr w:rsidR="13D05368" w14:paraId="7C78A7B6" w14:textId="77777777" w:rsidTr="13D05368">
        <w:trPr>
          <w:trHeight w:val="300"/>
        </w:trPr>
        <w:tc>
          <w:tcPr>
            <w:tcW w:w="2850" w:type="dxa"/>
            <w:tcBorders>
              <w:top w:val="nil"/>
              <w:left w:val="nil"/>
              <w:bottom w:val="nil"/>
              <w:right w:val="nil"/>
            </w:tcBorders>
            <w:tcMar>
              <w:left w:w="105" w:type="dxa"/>
              <w:right w:w="105" w:type="dxa"/>
            </w:tcMar>
            <w:vAlign w:val="bottom"/>
          </w:tcPr>
          <w:p w14:paraId="4E7E9263" w14:textId="27CEED5A" w:rsidR="13D05368" w:rsidRDefault="13D05368" w:rsidP="13D05368">
            <w:pPr>
              <w:rPr>
                <w:rFonts w:eastAsia="Arial"/>
                <w:sz w:val="22"/>
              </w:rPr>
            </w:pPr>
            <w:r w:rsidRPr="13D05368">
              <w:rPr>
                <w:rFonts w:eastAsia="Arial"/>
                <w:sz w:val="22"/>
              </w:rPr>
              <w:t xml:space="preserve">   NHW</w:t>
            </w:r>
          </w:p>
        </w:tc>
        <w:tc>
          <w:tcPr>
            <w:tcW w:w="2250" w:type="dxa"/>
            <w:tcBorders>
              <w:top w:val="nil"/>
              <w:left w:val="nil"/>
              <w:bottom w:val="nil"/>
              <w:right w:val="nil"/>
            </w:tcBorders>
            <w:tcMar>
              <w:left w:w="105" w:type="dxa"/>
              <w:right w:w="105" w:type="dxa"/>
            </w:tcMar>
            <w:vAlign w:val="bottom"/>
          </w:tcPr>
          <w:p w14:paraId="1BDDA67E" w14:textId="6F1B6892" w:rsidR="13D05368" w:rsidRDefault="13D05368" w:rsidP="13D05368">
            <w:pPr>
              <w:rPr>
                <w:rFonts w:eastAsia="Arial"/>
                <w:sz w:val="22"/>
              </w:rPr>
            </w:pPr>
            <w:r w:rsidRPr="13D05368">
              <w:rPr>
                <w:rFonts w:eastAsia="Arial"/>
                <w:sz w:val="22"/>
              </w:rPr>
              <w:t>234 (60.0%)</w:t>
            </w:r>
          </w:p>
        </w:tc>
      </w:tr>
      <w:tr w:rsidR="13D05368" w14:paraId="2BDC5086" w14:textId="77777777" w:rsidTr="13D05368">
        <w:trPr>
          <w:trHeight w:val="300"/>
        </w:trPr>
        <w:tc>
          <w:tcPr>
            <w:tcW w:w="2850" w:type="dxa"/>
            <w:tcBorders>
              <w:top w:val="nil"/>
              <w:left w:val="nil"/>
              <w:bottom w:val="nil"/>
              <w:right w:val="nil"/>
            </w:tcBorders>
            <w:tcMar>
              <w:left w:w="105" w:type="dxa"/>
              <w:right w:w="105" w:type="dxa"/>
            </w:tcMar>
            <w:vAlign w:val="bottom"/>
          </w:tcPr>
          <w:p w14:paraId="5CA2C310" w14:textId="0D2E77C7" w:rsidR="13D05368" w:rsidRDefault="13D05368" w:rsidP="13D05368">
            <w:pPr>
              <w:rPr>
                <w:rFonts w:eastAsia="Arial"/>
                <w:sz w:val="22"/>
              </w:rPr>
            </w:pPr>
            <w:r w:rsidRPr="13D05368">
              <w:rPr>
                <w:rFonts w:eastAsia="Arial"/>
                <w:sz w:val="22"/>
              </w:rPr>
              <w:t xml:space="preserve">   NHB</w:t>
            </w:r>
          </w:p>
        </w:tc>
        <w:tc>
          <w:tcPr>
            <w:tcW w:w="2250" w:type="dxa"/>
            <w:tcBorders>
              <w:top w:val="nil"/>
              <w:left w:val="nil"/>
              <w:bottom w:val="nil"/>
              <w:right w:val="nil"/>
            </w:tcBorders>
            <w:tcMar>
              <w:left w:w="105" w:type="dxa"/>
              <w:right w:w="105" w:type="dxa"/>
            </w:tcMar>
            <w:vAlign w:val="bottom"/>
          </w:tcPr>
          <w:p w14:paraId="66580EC0" w14:textId="35F4E381" w:rsidR="13D05368" w:rsidRDefault="13D05368" w:rsidP="13D05368">
            <w:pPr>
              <w:rPr>
                <w:rFonts w:eastAsia="Arial"/>
                <w:sz w:val="22"/>
              </w:rPr>
            </w:pPr>
            <w:r w:rsidRPr="13D05368">
              <w:rPr>
                <w:rFonts w:eastAsia="Arial"/>
                <w:sz w:val="22"/>
              </w:rPr>
              <w:t>118 (30.3%)</w:t>
            </w:r>
          </w:p>
        </w:tc>
      </w:tr>
      <w:tr w:rsidR="13D05368" w14:paraId="0EB65FB3" w14:textId="77777777" w:rsidTr="13D05368">
        <w:trPr>
          <w:trHeight w:val="300"/>
        </w:trPr>
        <w:tc>
          <w:tcPr>
            <w:tcW w:w="2850" w:type="dxa"/>
            <w:tcBorders>
              <w:top w:val="nil"/>
              <w:left w:val="nil"/>
              <w:bottom w:val="nil"/>
              <w:right w:val="nil"/>
            </w:tcBorders>
            <w:tcMar>
              <w:left w:w="105" w:type="dxa"/>
              <w:right w:w="105" w:type="dxa"/>
            </w:tcMar>
            <w:vAlign w:val="bottom"/>
          </w:tcPr>
          <w:p w14:paraId="19512336" w14:textId="2DEBDDA0" w:rsidR="13D05368" w:rsidRDefault="13D05368" w:rsidP="13D05368">
            <w:pPr>
              <w:rPr>
                <w:rFonts w:eastAsia="Arial"/>
                <w:sz w:val="22"/>
              </w:rPr>
            </w:pPr>
            <w:r w:rsidRPr="13D05368">
              <w:rPr>
                <w:rFonts w:eastAsia="Arial"/>
                <w:sz w:val="22"/>
              </w:rPr>
              <w:t xml:space="preserve">   H/L</w:t>
            </w:r>
          </w:p>
        </w:tc>
        <w:tc>
          <w:tcPr>
            <w:tcW w:w="2250" w:type="dxa"/>
            <w:tcBorders>
              <w:top w:val="nil"/>
              <w:left w:val="nil"/>
              <w:bottom w:val="nil"/>
              <w:right w:val="nil"/>
            </w:tcBorders>
            <w:tcMar>
              <w:left w:w="105" w:type="dxa"/>
              <w:right w:w="105" w:type="dxa"/>
            </w:tcMar>
            <w:vAlign w:val="bottom"/>
          </w:tcPr>
          <w:p w14:paraId="5872DB46" w14:textId="058F97DE" w:rsidR="13D05368" w:rsidRDefault="13D05368" w:rsidP="13D05368">
            <w:pPr>
              <w:rPr>
                <w:rFonts w:eastAsia="Arial"/>
                <w:sz w:val="22"/>
              </w:rPr>
            </w:pPr>
            <w:r w:rsidRPr="13D05368">
              <w:rPr>
                <w:rFonts w:eastAsia="Arial"/>
                <w:sz w:val="22"/>
              </w:rPr>
              <w:t>38 (9.7%)</w:t>
            </w:r>
          </w:p>
        </w:tc>
      </w:tr>
      <w:tr w:rsidR="13D05368" w14:paraId="0FCA9B56" w14:textId="77777777" w:rsidTr="13D05368">
        <w:trPr>
          <w:trHeight w:val="300"/>
        </w:trPr>
        <w:tc>
          <w:tcPr>
            <w:tcW w:w="2850" w:type="dxa"/>
            <w:tcBorders>
              <w:top w:val="nil"/>
              <w:left w:val="nil"/>
              <w:bottom w:val="nil"/>
              <w:right w:val="nil"/>
            </w:tcBorders>
            <w:tcMar>
              <w:left w:w="105" w:type="dxa"/>
              <w:right w:w="105" w:type="dxa"/>
            </w:tcMar>
            <w:vAlign w:val="bottom"/>
          </w:tcPr>
          <w:p w14:paraId="33C48A16" w14:textId="4C7C3487" w:rsidR="13D05368" w:rsidRDefault="13D05368" w:rsidP="13D05368">
            <w:pPr>
              <w:rPr>
                <w:rFonts w:eastAsia="Arial"/>
                <w:sz w:val="22"/>
              </w:rPr>
            </w:pPr>
            <w:r w:rsidRPr="13D05368">
              <w:rPr>
                <w:rFonts w:eastAsia="Arial"/>
                <w:sz w:val="22"/>
              </w:rPr>
              <w:t>Age at Enrollment</w:t>
            </w:r>
          </w:p>
        </w:tc>
        <w:tc>
          <w:tcPr>
            <w:tcW w:w="2250" w:type="dxa"/>
            <w:tcBorders>
              <w:top w:val="nil"/>
              <w:left w:val="nil"/>
              <w:bottom w:val="nil"/>
              <w:right w:val="nil"/>
            </w:tcBorders>
            <w:tcMar>
              <w:left w:w="105" w:type="dxa"/>
              <w:right w:w="105" w:type="dxa"/>
            </w:tcMar>
            <w:vAlign w:val="bottom"/>
          </w:tcPr>
          <w:p w14:paraId="513B85FC" w14:textId="6B07CBD3" w:rsidR="13D05368" w:rsidRDefault="13D05368" w:rsidP="13D05368">
            <w:pPr>
              <w:rPr>
                <w:rFonts w:eastAsia="Arial"/>
                <w:sz w:val="22"/>
              </w:rPr>
            </w:pPr>
            <w:r w:rsidRPr="13D05368">
              <w:rPr>
                <w:rFonts w:eastAsia="Arial"/>
                <w:sz w:val="22"/>
              </w:rPr>
              <w:t>5.6 (3.6)</w:t>
            </w:r>
          </w:p>
        </w:tc>
      </w:tr>
      <w:tr w:rsidR="13D05368" w14:paraId="013BA401" w14:textId="77777777" w:rsidTr="13D05368">
        <w:trPr>
          <w:trHeight w:val="300"/>
        </w:trPr>
        <w:tc>
          <w:tcPr>
            <w:tcW w:w="2850" w:type="dxa"/>
            <w:tcBorders>
              <w:top w:val="nil"/>
              <w:left w:val="nil"/>
              <w:bottom w:val="nil"/>
              <w:right w:val="nil"/>
            </w:tcBorders>
            <w:tcMar>
              <w:left w:w="105" w:type="dxa"/>
              <w:right w:w="105" w:type="dxa"/>
            </w:tcMar>
            <w:vAlign w:val="bottom"/>
          </w:tcPr>
          <w:p w14:paraId="4028FB24" w14:textId="57E1582E" w:rsidR="13D05368" w:rsidRDefault="13D05368" w:rsidP="13D05368">
            <w:pPr>
              <w:rPr>
                <w:rFonts w:eastAsia="Arial"/>
                <w:sz w:val="22"/>
              </w:rPr>
            </w:pPr>
            <w:r w:rsidRPr="13D05368">
              <w:rPr>
                <w:rFonts w:eastAsia="Arial"/>
                <w:sz w:val="22"/>
              </w:rPr>
              <w:t>Age at Survey</w:t>
            </w:r>
          </w:p>
        </w:tc>
        <w:tc>
          <w:tcPr>
            <w:tcW w:w="2250" w:type="dxa"/>
            <w:tcBorders>
              <w:top w:val="nil"/>
              <w:left w:val="nil"/>
              <w:bottom w:val="nil"/>
              <w:right w:val="nil"/>
            </w:tcBorders>
            <w:tcMar>
              <w:left w:w="105" w:type="dxa"/>
              <w:right w:w="105" w:type="dxa"/>
            </w:tcMar>
            <w:vAlign w:val="bottom"/>
          </w:tcPr>
          <w:p w14:paraId="7565CC54" w14:textId="4ACD2223" w:rsidR="13D05368" w:rsidRDefault="13D05368" w:rsidP="13D05368">
            <w:pPr>
              <w:rPr>
                <w:rFonts w:eastAsia="Arial"/>
                <w:sz w:val="22"/>
              </w:rPr>
            </w:pPr>
            <w:r w:rsidRPr="13D05368">
              <w:rPr>
                <w:rFonts w:eastAsia="Arial"/>
                <w:sz w:val="22"/>
              </w:rPr>
              <w:t>7.2 (3.7)</w:t>
            </w:r>
          </w:p>
        </w:tc>
      </w:tr>
      <w:tr w:rsidR="13D05368" w14:paraId="3D126168" w14:textId="77777777" w:rsidTr="13D05368">
        <w:trPr>
          <w:trHeight w:val="300"/>
        </w:trPr>
        <w:tc>
          <w:tcPr>
            <w:tcW w:w="2850" w:type="dxa"/>
            <w:tcBorders>
              <w:top w:val="nil"/>
              <w:left w:val="nil"/>
              <w:bottom w:val="nil"/>
              <w:right w:val="nil"/>
            </w:tcBorders>
            <w:tcMar>
              <w:left w:w="105" w:type="dxa"/>
              <w:right w:w="105" w:type="dxa"/>
            </w:tcMar>
            <w:vAlign w:val="bottom"/>
          </w:tcPr>
          <w:p w14:paraId="113C1B58" w14:textId="5C7FBCE5" w:rsidR="13D05368" w:rsidRDefault="13D05368" w:rsidP="13D05368">
            <w:pPr>
              <w:rPr>
                <w:rFonts w:eastAsia="Arial"/>
                <w:sz w:val="22"/>
              </w:rPr>
            </w:pPr>
            <w:r w:rsidRPr="13D05368">
              <w:rPr>
                <w:rFonts w:eastAsia="Arial"/>
                <w:sz w:val="22"/>
              </w:rPr>
              <w:t>Gender</w:t>
            </w:r>
          </w:p>
        </w:tc>
        <w:tc>
          <w:tcPr>
            <w:tcW w:w="2250" w:type="dxa"/>
            <w:tcBorders>
              <w:top w:val="nil"/>
              <w:left w:val="nil"/>
              <w:bottom w:val="nil"/>
              <w:right w:val="nil"/>
            </w:tcBorders>
            <w:tcMar>
              <w:left w:w="105" w:type="dxa"/>
              <w:right w:w="105" w:type="dxa"/>
            </w:tcMar>
            <w:vAlign w:val="bottom"/>
          </w:tcPr>
          <w:p w14:paraId="204D3F2C" w14:textId="7EC6575D" w:rsidR="13D05368" w:rsidRDefault="13D05368" w:rsidP="13D05368">
            <w:pPr>
              <w:rPr>
                <w:rFonts w:eastAsia="Arial"/>
                <w:sz w:val="22"/>
              </w:rPr>
            </w:pPr>
          </w:p>
        </w:tc>
      </w:tr>
      <w:tr w:rsidR="13D05368" w14:paraId="005F7179" w14:textId="77777777" w:rsidTr="13D05368">
        <w:trPr>
          <w:trHeight w:val="300"/>
        </w:trPr>
        <w:tc>
          <w:tcPr>
            <w:tcW w:w="2850" w:type="dxa"/>
            <w:tcBorders>
              <w:top w:val="nil"/>
              <w:left w:val="nil"/>
              <w:bottom w:val="nil"/>
              <w:right w:val="nil"/>
            </w:tcBorders>
            <w:tcMar>
              <w:left w:w="105" w:type="dxa"/>
              <w:right w:w="105" w:type="dxa"/>
            </w:tcMar>
            <w:vAlign w:val="bottom"/>
          </w:tcPr>
          <w:p w14:paraId="3809913B" w14:textId="323E1F7B" w:rsidR="13D05368" w:rsidRDefault="13D05368" w:rsidP="13D05368">
            <w:pPr>
              <w:rPr>
                <w:rFonts w:eastAsia="Arial"/>
                <w:sz w:val="22"/>
              </w:rPr>
            </w:pPr>
            <w:r w:rsidRPr="13D05368">
              <w:rPr>
                <w:rFonts w:eastAsia="Arial"/>
                <w:sz w:val="22"/>
              </w:rPr>
              <w:t xml:space="preserve">   Male</w:t>
            </w:r>
          </w:p>
        </w:tc>
        <w:tc>
          <w:tcPr>
            <w:tcW w:w="2250" w:type="dxa"/>
            <w:tcBorders>
              <w:top w:val="nil"/>
              <w:left w:val="nil"/>
              <w:bottom w:val="nil"/>
              <w:right w:val="nil"/>
            </w:tcBorders>
            <w:tcMar>
              <w:left w:w="105" w:type="dxa"/>
              <w:right w:w="105" w:type="dxa"/>
            </w:tcMar>
            <w:vAlign w:val="bottom"/>
          </w:tcPr>
          <w:p w14:paraId="73B5CC78" w14:textId="09ADD733" w:rsidR="13D05368" w:rsidRDefault="13D05368" w:rsidP="13D05368">
            <w:pPr>
              <w:rPr>
                <w:rFonts w:eastAsia="Arial"/>
                <w:sz w:val="22"/>
              </w:rPr>
            </w:pPr>
            <w:r w:rsidRPr="13D05368">
              <w:rPr>
                <w:rFonts w:eastAsia="Arial"/>
                <w:sz w:val="22"/>
              </w:rPr>
              <w:t>241 (61.8%)</w:t>
            </w:r>
          </w:p>
        </w:tc>
      </w:tr>
      <w:tr w:rsidR="13D05368" w14:paraId="66197DB6" w14:textId="77777777" w:rsidTr="13D05368">
        <w:trPr>
          <w:trHeight w:val="300"/>
        </w:trPr>
        <w:tc>
          <w:tcPr>
            <w:tcW w:w="2850" w:type="dxa"/>
            <w:tcBorders>
              <w:top w:val="nil"/>
              <w:left w:val="nil"/>
              <w:bottom w:val="nil"/>
              <w:right w:val="nil"/>
            </w:tcBorders>
            <w:tcMar>
              <w:left w:w="105" w:type="dxa"/>
              <w:right w:w="105" w:type="dxa"/>
            </w:tcMar>
            <w:vAlign w:val="bottom"/>
          </w:tcPr>
          <w:p w14:paraId="4D44FF94" w14:textId="3BCC38B8" w:rsidR="13D05368" w:rsidRDefault="13D05368" w:rsidP="13D05368">
            <w:pPr>
              <w:rPr>
                <w:rFonts w:eastAsia="Arial"/>
                <w:sz w:val="22"/>
              </w:rPr>
            </w:pPr>
            <w:r w:rsidRPr="13D05368">
              <w:rPr>
                <w:rFonts w:eastAsia="Arial"/>
                <w:sz w:val="22"/>
              </w:rPr>
              <w:t xml:space="preserve">   Female</w:t>
            </w:r>
          </w:p>
        </w:tc>
        <w:tc>
          <w:tcPr>
            <w:tcW w:w="2250" w:type="dxa"/>
            <w:tcBorders>
              <w:top w:val="nil"/>
              <w:left w:val="nil"/>
              <w:bottom w:val="nil"/>
              <w:right w:val="nil"/>
            </w:tcBorders>
            <w:tcMar>
              <w:left w:w="105" w:type="dxa"/>
              <w:right w:w="105" w:type="dxa"/>
            </w:tcMar>
            <w:vAlign w:val="bottom"/>
          </w:tcPr>
          <w:p w14:paraId="7B37FB68" w14:textId="0B25E959" w:rsidR="13D05368" w:rsidRDefault="13D05368" w:rsidP="13D05368">
            <w:pPr>
              <w:rPr>
                <w:rFonts w:eastAsia="Arial"/>
                <w:sz w:val="22"/>
              </w:rPr>
            </w:pPr>
            <w:r w:rsidRPr="13D05368">
              <w:rPr>
                <w:rFonts w:eastAsia="Arial"/>
                <w:sz w:val="22"/>
              </w:rPr>
              <w:t>149 (38.2%)</w:t>
            </w:r>
          </w:p>
        </w:tc>
      </w:tr>
      <w:tr w:rsidR="13D05368" w14:paraId="594F947E" w14:textId="77777777" w:rsidTr="13D05368">
        <w:trPr>
          <w:trHeight w:val="300"/>
        </w:trPr>
        <w:tc>
          <w:tcPr>
            <w:tcW w:w="2850" w:type="dxa"/>
            <w:tcBorders>
              <w:top w:val="nil"/>
              <w:left w:val="nil"/>
              <w:bottom w:val="nil"/>
              <w:right w:val="nil"/>
            </w:tcBorders>
            <w:tcMar>
              <w:left w:w="105" w:type="dxa"/>
              <w:right w:w="105" w:type="dxa"/>
            </w:tcMar>
            <w:vAlign w:val="bottom"/>
          </w:tcPr>
          <w:p w14:paraId="537761B2" w14:textId="7E43B312" w:rsidR="13D05368" w:rsidRDefault="13D05368" w:rsidP="13D05368">
            <w:pPr>
              <w:rPr>
                <w:rFonts w:eastAsia="Arial"/>
                <w:sz w:val="22"/>
              </w:rPr>
            </w:pPr>
            <w:r w:rsidRPr="13D05368">
              <w:rPr>
                <w:rFonts w:eastAsia="Arial"/>
                <w:sz w:val="22"/>
              </w:rPr>
              <w:t>Income</w:t>
            </w:r>
          </w:p>
        </w:tc>
        <w:tc>
          <w:tcPr>
            <w:tcW w:w="2250" w:type="dxa"/>
            <w:tcBorders>
              <w:top w:val="nil"/>
              <w:left w:val="nil"/>
              <w:bottom w:val="nil"/>
              <w:right w:val="nil"/>
            </w:tcBorders>
            <w:tcMar>
              <w:left w:w="105" w:type="dxa"/>
              <w:right w:w="105" w:type="dxa"/>
            </w:tcMar>
            <w:vAlign w:val="bottom"/>
          </w:tcPr>
          <w:p w14:paraId="0087BD1A" w14:textId="4ABF1FF0" w:rsidR="13D05368" w:rsidRDefault="13D05368" w:rsidP="13D05368">
            <w:pPr>
              <w:rPr>
                <w:rFonts w:eastAsia="Arial"/>
                <w:sz w:val="22"/>
              </w:rPr>
            </w:pPr>
          </w:p>
        </w:tc>
      </w:tr>
      <w:tr w:rsidR="13D05368" w14:paraId="32FDC11B" w14:textId="77777777" w:rsidTr="13D05368">
        <w:trPr>
          <w:trHeight w:val="300"/>
        </w:trPr>
        <w:tc>
          <w:tcPr>
            <w:tcW w:w="2850" w:type="dxa"/>
            <w:tcBorders>
              <w:top w:val="nil"/>
              <w:left w:val="nil"/>
              <w:bottom w:val="nil"/>
              <w:right w:val="nil"/>
            </w:tcBorders>
            <w:tcMar>
              <w:left w:w="105" w:type="dxa"/>
              <w:right w:w="105" w:type="dxa"/>
            </w:tcMar>
            <w:vAlign w:val="bottom"/>
          </w:tcPr>
          <w:p w14:paraId="4E4A7C0D" w14:textId="4108A4A7" w:rsidR="13D05368" w:rsidRDefault="13D05368" w:rsidP="13D05368">
            <w:pPr>
              <w:rPr>
                <w:rFonts w:eastAsia="Arial"/>
                <w:sz w:val="22"/>
              </w:rPr>
            </w:pPr>
            <w:r w:rsidRPr="13D05368">
              <w:rPr>
                <w:rFonts w:eastAsia="Arial"/>
                <w:sz w:val="22"/>
              </w:rPr>
              <w:t xml:space="preserve">   &lt; $100k</w:t>
            </w:r>
          </w:p>
        </w:tc>
        <w:tc>
          <w:tcPr>
            <w:tcW w:w="2250" w:type="dxa"/>
            <w:tcBorders>
              <w:top w:val="nil"/>
              <w:left w:val="nil"/>
              <w:bottom w:val="nil"/>
              <w:right w:val="nil"/>
            </w:tcBorders>
            <w:tcMar>
              <w:left w:w="105" w:type="dxa"/>
              <w:right w:w="105" w:type="dxa"/>
            </w:tcMar>
            <w:vAlign w:val="bottom"/>
          </w:tcPr>
          <w:p w14:paraId="7117B3B6" w14:textId="35A6510F" w:rsidR="13D05368" w:rsidRDefault="13D05368" w:rsidP="13D05368">
            <w:pPr>
              <w:rPr>
                <w:rFonts w:eastAsia="Arial"/>
                <w:sz w:val="22"/>
              </w:rPr>
            </w:pPr>
            <w:r w:rsidRPr="13D05368">
              <w:rPr>
                <w:rFonts w:eastAsia="Arial"/>
                <w:sz w:val="22"/>
              </w:rPr>
              <w:t>165 (42.3%)</w:t>
            </w:r>
          </w:p>
        </w:tc>
      </w:tr>
      <w:tr w:rsidR="13D05368" w14:paraId="49250845" w14:textId="77777777" w:rsidTr="13D05368">
        <w:trPr>
          <w:trHeight w:val="300"/>
        </w:trPr>
        <w:tc>
          <w:tcPr>
            <w:tcW w:w="2850" w:type="dxa"/>
            <w:tcBorders>
              <w:top w:val="nil"/>
              <w:left w:val="nil"/>
              <w:bottom w:val="nil"/>
              <w:right w:val="nil"/>
            </w:tcBorders>
            <w:tcMar>
              <w:left w:w="105" w:type="dxa"/>
              <w:right w:w="105" w:type="dxa"/>
            </w:tcMar>
            <w:vAlign w:val="bottom"/>
          </w:tcPr>
          <w:p w14:paraId="7E1A9086" w14:textId="64224B80" w:rsidR="13D05368" w:rsidRDefault="13D05368" w:rsidP="13D05368">
            <w:pPr>
              <w:rPr>
                <w:rFonts w:eastAsia="Arial"/>
                <w:sz w:val="22"/>
              </w:rPr>
            </w:pPr>
            <w:r w:rsidRPr="13D05368">
              <w:rPr>
                <w:rFonts w:eastAsia="Arial"/>
                <w:sz w:val="22"/>
              </w:rPr>
              <w:t xml:space="preserve">   $100k-200k</w:t>
            </w:r>
          </w:p>
        </w:tc>
        <w:tc>
          <w:tcPr>
            <w:tcW w:w="2250" w:type="dxa"/>
            <w:tcBorders>
              <w:top w:val="nil"/>
              <w:left w:val="nil"/>
              <w:bottom w:val="nil"/>
              <w:right w:val="nil"/>
            </w:tcBorders>
            <w:tcMar>
              <w:left w:w="105" w:type="dxa"/>
              <w:right w:w="105" w:type="dxa"/>
            </w:tcMar>
            <w:vAlign w:val="bottom"/>
          </w:tcPr>
          <w:p w14:paraId="107EFB7B" w14:textId="272A8872" w:rsidR="13D05368" w:rsidRDefault="13D05368" w:rsidP="13D05368">
            <w:pPr>
              <w:rPr>
                <w:rFonts w:eastAsia="Arial"/>
                <w:sz w:val="22"/>
              </w:rPr>
            </w:pPr>
            <w:r w:rsidRPr="13D05368">
              <w:rPr>
                <w:rFonts w:eastAsia="Arial"/>
                <w:sz w:val="22"/>
              </w:rPr>
              <w:t>116 (29.7%)</w:t>
            </w:r>
          </w:p>
        </w:tc>
      </w:tr>
      <w:tr w:rsidR="13D05368" w14:paraId="6B4A8221" w14:textId="77777777" w:rsidTr="13D05368">
        <w:trPr>
          <w:trHeight w:val="300"/>
        </w:trPr>
        <w:tc>
          <w:tcPr>
            <w:tcW w:w="2850" w:type="dxa"/>
            <w:tcBorders>
              <w:top w:val="nil"/>
              <w:left w:val="nil"/>
              <w:bottom w:val="nil"/>
              <w:right w:val="nil"/>
            </w:tcBorders>
            <w:tcMar>
              <w:left w:w="105" w:type="dxa"/>
              <w:right w:w="105" w:type="dxa"/>
            </w:tcMar>
            <w:vAlign w:val="bottom"/>
          </w:tcPr>
          <w:p w14:paraId="3488F441" w14:textId="4D9F7DFC" w:rsidR="13D05368" w:rsidRDefault="13D05368" w:rsidP="13D05368">
            <w:pPr>
              <w:rPr>
                <w:rFonts w:eastAsia="Arial"/>
                <w:sz w:val="22"/>
              </w:rPr>
            </w:pPr>
            <w:r w:rsidRPr="13D05368">
              <w:rPr>
                <w:rFonts w:eastAsia="Arial"/>
                <w:sz w:val="22"/>
              </w:rPr>
              <w:t xml:space="preserve">   &gt; $200k</w:t>
            </w:r>
          </w:p>
        </w:tc>
        <w:tc>
          <w:tcPr>
            <w:tcW w:w="2250" w:type="dxa"/>
            <w:tcBorders>
              <w:top w:val="nil"/>
              <w:left w:val="nil"/>
              <w:bottom w:val="nil"/>
              <w:right w:val="nil"/>
            </w:tcBorders>
            <w:tcMar>
              <w:left w:w="105" w:type="dxa"/>
              <w:right w:w="105" w:type="dxa"/>
            </w:tcMar>
            <w:vAlign w:val="bottom"/>
          </w:tcPr>
          <w:p w14:paraId="73F4588A" w14:textId="4B78F61B" w:rsidR="13D05368" w:rsidRDefault="13D05368" w:rsidP="13D05368">
            <w:pPr>
              <w:rPr>
                <w:rFonts w:eastAsia="Arial"/>
                <w:sz w:val="22"/>
              </w:rPr>
            </w:pPr>
            <w:r w:rsidRPr="13D05368">
              <w:rPr>
                <w:rFonts w:eastAsia="Arial"/>
                <w:sz w:val="22"/>
              </w:rPr>
              <w:t>109 (27.9%)</w:t>
            </w:r>
          </w:p>
        </w:tc>
      </w:tr>
    </w:tbl>
    <w:p w14:paraId="6BAF4DED" w14:textId="5EEB6F7C" w:rsidR="004A351F" w:rsidRDefault="004A351F" w:rsidP="13D05368">
      <w:pPr>
        <w:rPr>
          <w:rFonts w:eastAsia="Arial"/>
          <w:color w:val="000000" w:themeColor="text1"/>
          <w:sz w:val="22"/>
        </w:rPr>
      </w:pPr>
    </w:p>
    <w:p w14:paraId="73C0FC3E" w14:textId="11CAEBF4" w:rsidR="004A351F" w:rsidRDefault="004A351F" w:rsidP="13D05368">
      <w:pPr>
        <w:rPr>
          <w:rFonts w:eastAsia="Arial"/>
          <w:color w:val="000000" w:themeColor="text1"/>
          <w:sz w:val="22"/>
        </w:rPr>
      </w:pPr>
    </w:p>
    <w:p w14:paraId="06CA83F1" w14:textId="22720034" w:rsidR="004A351F" w:rsidRDefault="004A351F" w:rsidP="13D05368">
      <w:pPr>
        <w:rPr>
          <w:rFonts w:eastAsia="Arial"/>
          <w:color w:val="000000" w:themeColor="text1"/>
          <w:sz w:val="22"/>
        </w:rPr>
      </w:pPr>
    </w:p>
    <w:p w14:paraId="32029DDF" w14:textId="41E7F564" w:rsidR="004A351F" w:rsidRDefault="004A351F" w:rsidP="13D05368">
      <w:pPr>
        <w:rPr>
          <w:rFonts w:eastAsia="Arial"/>
          <w:color w:val="000000" w:themeColor="text1"/>
          <w:sz w:val="22"/>
        </w:rPr>
      </w:pPr>
    </w:p>
    <w:p w14:paraId="0EBC7459" w14:textId="4AD73402" w:rsidR="004A351F" w:rsidRDefault="004A351F" w:rsidP="13D05368">
      <w:pPr>
        <w:rPr>
          <w:rFonts w:eastAsia="Arial"/>
          <w:color w:val="000000" w:themeColor="text1"/>
          <w:sz w:val="22"/>
        </w:rPr>
      </w:pPr>
    </w:p>
    <w:p w14:paraId="03F9CAE2" w14:textId="0A883EC8" w:rsidR="004A351F" w:rsidRDefault="004A351F" w:rsidP="13D05368">
      <w:pPr>
        <w:rPr>
          <w:rFonts w:eastAsia="Arial"/>
          <w:color w:val="000000" w:themeColor="text1"/>
          <w:sz w:val="22"/>
        </w:rPr>
      </w:pPr>
    </w:p>
    <w:p w14:paraId="0CD38B90" w14:textId="1A13E463" w:rsidR="004A351F" w:rsidRDefault="004A351F" w:rsidP="13D05368">
      <w:pPr>
        <w:rPr>
          <w:rFonts w:eastAsia="Arial"/>
          <w:color w:val="000000" w:themeColor="text1"/>
          <w:sz w:val="22"/>
        </w:rPr>
      </w:pPr>
    </w:p>
    <w:p w14:paraId="0EDCE570" w14:textId="73B3DFA8" w:rsidR="004A351F" w:rsidRDefault="004A351F" w:rsidP="13D05368">
      <w:pPr>
        <w:rPr>
          <w:rFonts w:eastAsia="Arial"/>
          <w:color w:val="000000" w:themeColor="text1"/>
          <w:sz w:val="22"/>
        </w:rPr>
      </w:pPr>
    </w:p>
    <w:p w14:paraId="525F20ED" w14:textId="79B87E23" w:rsidR="004A351F" w:rsidRDefault="004A351F" w:rsidP="13D05368">
      <w:pPr>
        <w:rPr>
          <w:rFonts w:eastAsia="Arial"/>
          <w:color w:val="000000" w:themeColor="text1"/>
          <w:sz w:val="22"/>
        </w:rPr>
      </w:pPr>
    </w:p>
    <w:p w14:paraId="36961CD5" w14:textId="484B1B08" w:rsidR="004A351F" w:rsidRDefault="004A351F" w:rsidP="13D05368">
      <w:pPr>
        <w:rPr>
          <w:rFonts w:eastAsia="Arial"/>
          <w:color w:val="000000" w:themeColor="text1"/>
          <w:sz w:val="22"/>
        </w:rPr>
      </w:pPr>
    </w:p>
    <w:p w14:paraId="66F24480" w14:textId="04FAFA3E" w:rsidR="004A351F" w:rsidRDefault="004A351F" w:rsidP="13D05368">
      <w:pPr>
        <w:rPr>
          <w:rFonts w:eastAsia="Arial"/>
          <w:color w:val="000000" w:themeColor="text1"/>
          <w:sz w:val="22"/>
        </w:rPr>
      </w:pPr>
    </w:p>
    <w:p w14:paraId="1CECD34D" w14:textId="2C5AD265" w:rsidR="004A351F" w:rsidRDefault="004A351F" w:rsidP="13D05368">
      <w:pPr>
        <w:rPr>
          <w:rFonts w:eastAsia="Arial"/>
          <w:color w:val="000000" w:themeColor="text1"/>
          <w:sz w:val="22"/>
        </w:rPr>
      </w:pPr>
    </w:p>
    <w:p w14:paraId="0ED9DD0B" w14:textId="2AEB2374" w:rsidR="004A351F" w:rsidRDefault="004A351F" w:rsidP="13D05368">
      <w:pPr>
        <w:rPr>
          <w:rFonts w:eastAsia="Arial"/>
          <w:color w:val="000000" w:themeColor="text1"/>
          <w:sz w:val="22"/>
        </w:rPr>
      </w:pPr>
    </w:p>
    <w:p w14:paraId="6C6AD8E0" w14:textId="18E367DF" w:rsidR="004A351F" w:rsidRDefault="004A351F" w:rsidP="13D05368">
      <w:pPr>
        <w:rPr>
          <w:rFonts w:eastAsia="Arial"/>
          <w:color w:val="000000" w:themeColor="text1"/>
          <w:sz w:val="22"/>
        </w:rPr>
      </w:pPr>
    </w:p>
    <w:p w14:paraId="2326F395" w14:textId="2089B071" w:rsidR="004A351F" w:rsidRDefault="004A351F" w:rsidP="13D05368">
      <w:pPr>
        <w:rPr>
          <w:rFonts w:eastAsia="Arial"/>
          <w:color w:val="000000" w:themeColor="text1"/>
          <w:sz w:val="22"/>
        </w:rPr>
      </w:pPr>
    </w:p>
    <w:p w14:paraId="38D850CC" w14:textId="14B724E5" w:rsidR="004A351F" w:rsidRDefault="004A351F" w:rsidP="13D05368">
      <w:pPr>
        <w:rPr>
          <w:rFonts w:eastAsia="Arial"/>
          <w:color w:val="000000" w:themeColor="text1"/>
          <w:sz w:val="22"/>
        </w:rPr>
      </w:pPr>
    </w:p>
    <w:p w14:paraId="1CB96991" w14:textId="08411DED" w:rsidR="004A351F" w:rsidRDefault="004A351F" w:rsidP="13D05368">
      <w:pPr>
        <w:rPr>
          <w:rFonts w:eastAsia="Arial"/>
          <w:color w:val="000000" w:themeColor="text1"/>
          <w:sz w:val="22"/>
        </w:rPr>
      </w:pPr>
    </w:p>
    <w:p w14:paraId="427042C4" w14:textId="12BA8083" w:rsidR="004A351F" w:rsidRDefault="004A351F" w:rsidP="13D05368">
      <w:pPr>
        <w:rPr>
          <w:rFonts w:eastAsia="Arial"/>
          <w:color w:val="000000" w:themeColor="text1"/>
          <w:sz w:val="22"/>
        </w:rPr>
      </w:pPr>
    </w:p>
    <w:p w14:paraId="3C134370" w14:textId="128D6672" w:rsidR="004A351F" w:rsidRDefault="004A351F" w:rsidP="13D05368">
      <w:pPr>
        <w:rPr>
          <w:rFonts w:eastAsia="Arial"/>
          <w:color w:val="000000" w:themeColor="text1"/>
          <w:sz w:val="22"/>
        </w:rPr>
      </w:pPr>
    </w:p>
    <w:p w14:paraId="6AD066FE" w14:textId="49A03AFB" w:rsidR="004A351F" w:rsidRDefault="004A351F" w:rsidP="13D05368">
      <w:pPr>
        <w:rPr>
          <w:rFonts w:eastAsia="Arial"/>
          <w:color w:val="000000" w:themeColor="text1"/>
          <w:sz w:val="22"/>
        </w:rPr>
      </w:pPr>
    </w:p>
    <w:p w14:paraId="5E31D50B" w14:textId="0B192083" w:rsidR="004A351F" w:rsidRDefault="004A351F" w:rsidP="13D05368">
      <w:pPr>
        <w:rPr>
          <w:rFonts w:eastAsia="Arial"/>
          <w:color w:val="000000" w:themeColor="text1"/>
          <w:sz w:val="22"/>
        </w:rPr>
      </w:pPr>
    </w:p>
    <w:p w14:paraId="5005D835" w14:textId="5CA03486" w:rsidR="004A351F" w:rsidRDefault="004A351F" w:rsidP="13D05368">
      <w:pPr>
        <w:rPr>
          <w:rFonts w:eastAsia="Arial"/>
          <w:color w:val="000000" w:themeColor="text1"/>
          <w:sz w:val="22"/>
        </w:rPr>
      </w:pPr>
    </w:p>
    <w:p w14:paraId="6982274F" w14:textId="1D0AFEBB" w:rsidR="004A351F" w:rsidRDefault="004A351F" w:rsidP="13D05368">
      <w:pPr>
        <w:rPr>
          <w:rFonts w:eastAsia="Arial"/>
          <w:color w:val="000000" w:themeColor="text1"/>
          <w:sz w:val="22"/>
        </w:rPr>
      </w:pPr>
    </w:p>
    <w:p w14:paraId="550F4334" w14:textId="235F9ADF" w:rsidR="004A351F" w:rsidRDefault="26207899" w:rsidP="13D05368">
      <w:pPr>
        <w:rPr>
          <w:rFonts w:eastAsia="Arial"/>
          <w:color w:val="000000" w:themeColor="text1"/>
          <w:sz w:val="22"/>
        </w:rPr>
      </w:pPr>
      <w:r w:rsidRPr="13D05368">
        <w:rPr>
          <w:rFonts w:eastAsia="Arial"/>
          <w:color w:val="000000" w:themeColor="text1"/>
          <w:sz w:val="22"/>
        </w:rPr>
        <w:lastRenderedPageBreak/>
        <w:t>Table 2. Distribution of responses to economic burden survey (n = 390)</w:t>
      </w:r>
    </w:p>
    <w:p w14:paraId="4CB819C0" w14:textId="144108C5" w:rsidR="004A351F" w:rsidRDefault="004A351F" w:rsidP="13D05368">
      <w:pPr>
        <w:rPr>
          <w:rFonts w:eastAsia="Arial"/>
          <w:color w:val="000000" w:themeColor="text1"/>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900"/>
        <w:gridCol w:w="2385"/>
      </w:tblGrid>
      <w:tr w:rsidR="13D05368" w14:paraId="647F6E12" w14:textId="77777777" w:rsidTr="13D05368">
        <w:trPr>
          <w:trHeight w:val="300"/>
        </w:trPr>
        <w:tc>
          <w:tcPr>
            <w:tcW w:w="6900" w:type="dxa"/>
            <w:tcBorders>
              <w:top w:val="nil"/>
              <w:left w:val="nil"/>
              <w:bottom w:val="nil"/>
              <w:right w:val="nil"/>
            </w:tcBorders>
            <w:tcMar>
              <w:left w:w="105" w:type="dxa"/>
              <w:right w:w="105" w:type="dxa"/>
            </w:tcMar>
            <w:vAlign w:val="bottom"/>
          </w:tcPr>
          <w:p w14:paraId="0AD4A00A" w14:textId="5DDA252C" w:rsidR="13D05368" w:rsidRDefault="13D05368" w:rsidP="13D05368">
            <w:pPr>
              <w:rPr>
                <w:rFonts w:eastAsia="Arial"/>
                <w:sz w:val="22"/>
              </w:rPr>
            </w:pPr>
          </w:p>
        </w:tc>
        <w:tc>
          <w:tcPr>
            <w:tcW w:w="2385" w:type="dxa"/>
            <w:tcBorders>
              <w:top w:val="nil"/>
              <w:left w:val="nil"/>
              <w:bottom w:val="nil"/>
              <w:right w:val="nil"/>
            </w:tcBorders>
            <w:tcMar>
              <w:left w:w="105" w:type="dxa"/>
              <w:right w:w="105" w:type="dxa"/>
            </w:tcMar>
            <w:vAlign w:val="bottom"/>
          </w:tcPr>
          <w:p w14:paraId="19C00070" w14:textId="76A12A19" w:rsidR="13D05368" w:rsidRDefault="13D05368" w:rsidP="13D05368">
            <w:pPr>
              <w:rPr>
                <w:rFonts w:eastAsia="Arial"/>
                <w:sz w:val="22"/>
              </w:rPr>
            </w:pPr>
            <w:r w:rsidRPr="13D05368">
              <w:rPr>
                <w:rFonts w:eastAsia="Arial"/>
                <w:sz w:val="22"/>
              </w:rPr>
              <w:t>Total</w:t>
            </w:r>
          </w:p>
        </w:tc>
      </w:tr>
      <w:tr w:rsidR="13D05368" w14:paraId="54AD6E49" w14:textId="77777777" w:rsidTr="13D05368">
        <w:trPr>
          <w:trHeight w:val="300"/>
        </w:trPr>
        <w:tc>
          <w:tcPr>
            <w:tcW w:w="6900" w:type="dxa"/>
            <w:tcBorders>
              <w:top w:val="nil"/>
              <w:left w:val="nil"/>
              <w:bottom w:val="nil"/>
              <w:right w:val="nil"/>
            </w:tcBorders>
            <w:tcMar>
              <w:left w:w="105" w:type="dxa"/>
              <w:right w:w="105" w:type="dxa"/>
            </w:tcMar>
            <w:vAlign w:val="bottom"/>
          </w:tcPr>
          <w:p w14:paraId="4F520C2D" w14:textId="2FC4451F" w:rsidR="13D05368" w:rsidRDefault="13D05368" w:rsidP="13D05368">
            <w:pPr>
              <w:rPr>
                <w:rFonts w:eastAsia="Arial"/>
                <w:sz w:val="22"/>
              </w:rPr>
            </w:pPr>
          </w:p>
        </w:tc>
        <w:tc>
          <w:tcPr>
            <w:tcW w:w="2385" w:type="dxa"/>
            <w:tcBorders>
              <w:top w:val="nil"/>
              <w:left w:val="nil"/>
              <w:bottom w:val="nil"/>
              <w:right w:val="nil"/>
            </w:tcBorders>
            <w:tcMar>
              <w:left w:w="105" w:type="dxa"/>
              <w:right w:w="105" w:type="dxa"/>
            </w:tcMar>
            <w:vAlign w:val="bottom"/>
          </w:tcPr>
          <w:p w14:paraId="6792617B" w14:textId="71C1842F" w:rsidR="13D05368" w:rsidRDefault="13D05368" w:rsidP="13D05368">
            <w:pPr>
              <w:rPr>
                <w:rFonts w:eastAsia="Arial"/>
                <w:sz w:val="22"/>
              </w:rPr>
            </w:pPr>
            <w:r w:rsidRPr="13D05368">
              <w:rPr>
                <w:rFonts w:eastAsia="Arial"/>
                <w:sz w:val="22"/>
              </w:rPr>
              <w:t>N=390</w:t>
            </w:r>
          </w:p>
        </w:tc>
      </w:tr>
      <w:tr w:rsidR="13D05368" w14:paraId="67B6C6AE" w14:textId="77777777" w:rsidTr="13D05368">
        <w:trPr>
          <w:trHeight w:val="300"/>
        </w:trPr>
        <w:tc>
          <w:tcPr>
            <w:tcW w:w="6900" w:type="dxa"/>
            <w:tcBorders>
              <w:top w:val="nil"/>
              <w:left w:val="nil"/>
              <w:bottom w:val="nil"/>
              <w:right w:val="nil"/>
            </w:tcBorders>
            <w:tcMar>
              <w:left w:w="105" w:type="dxa"/>
              <w:right w:w="105" w:type="dxa"/>
            </w:tcMar>
            <w:vAlign w:val="bottom"/>
          </w:tcPr>
          <w:p w14:paraId="49F1261B" w14:textId="68C9DCB6" w:rsidR="13D05368" w:rsidRDefault="13D05368" w:rsidP="13D05368">
            <w:pPr>
              <w:rPr>
                <w:rFonts w:eastAsia="Arial"/>
                <w:sz w:val="22"/>
              </w:rPr>
            </w:pPr>
            <w:r w:rsidRPr="13D05368">
              <w:rPr>
                <w:rFonts w:eastAsia="Arial"/>
                <w:sz w:val="22"/>
              </w:rPr>
              <w:t>Any Diet Costs?</w:t>
            </w:r>
          </w:p>
        </w:tc>
        <w:tc>
          <w:tcPr>
            <w:tcW w:w="2385" w:type="dxa"/>
            <w:tcBorders>
              <w:top w:val="nil"/>
              <w:left w:val="nil"/>
              <w:bottom w:val="nil"/>
              <w:right w:val="nil"/>
            </w:tcBorders>
            <w:tcMar>
              <w:left w:w="105" w:type="dxa"/>
              <w:right w:w="105" w:type="dxa"/>
            </w:tcMar>
            <w:vAlign w:val="bottom"/>
          </w:tcPr>
          <w:p w14:paraId="5F2706DB" w14:textId="34518C50" w:rsidR="13D05368" w:rsidRDefault="13D05368" w:rsidP="13D05368">
            <w:pPr>
              <w:rPr>
                <w:rFonts w:eastAsia="Arial"/>
                <w:sz w:val="22"/>
              </w:rPr>
            </w:pPr>
          </w:p>
        </w:tc>
      </w:tr>
      <w:tr w:rsidR="13D05368" w14:paraId="134EBB41" w14:textId="77777777" w:rsidTr="13D05368">
        <w:trPr>
          <w:trHeight w:val="300"/>
        </w:trPr>
        <w:tc>
          <w:tcPr>
            <w:tcW w:w="6900" w:type="dxa"/>
            <w:tcBorders>
              <w:top w:val="nil"/>
              <w:left w:val="nil"/>
              <w:bottom w:val="nil"/>
              <w:right w:val="nil"/>
            </w:tcBorders>
            <w:tcMar>
              <w:left w:w="105" w:type="dxa"/>
              <w:right w:w="105" w:type="dxa"/>
            </w:tcMar>
            <w:vAlign w:val="bottom"/>
          </w:tcPr>
          <w:p w14:paraId="6CB6C84B" w14:textId="563EE9EC" w:rsidR="13D05368" w:rsidRDefault="13D05368" w:rsidP="13D05368">
            <w:pPr>
              <w:rPr>
                <w:rFonts w:eastAsia="Arial"/>
                <w:sz w:val="22"/>
              </w:rPr>
            </w:pPr>
            <w:r w:rsidRPr="13D05368">
              <w:rPr>
                <w:rFonts w:eastAsia="Arial"/>
                <w:sz w:val="22"/>
              </w:rPr>
              <w:t xml:space="preserve">   No</w:t>
            </w:r>
          </w:p>
        </w:tc>
        <w:tc>
          <w:tcPr>
            <w:tcW w:w="2385" w:type="dxa"/>
            <w:tcBorders>
              <w:top w:val="nil"/>
              <w:left w:val="nil"/>
              <w:bottom w:val="nil"/>
              <w:right w:val="nil"/>
            </w:tcBorders>
            <w:tcMar>
              <w:left w:w="105" w:type="dxa"/>
              <w:right w:w="105" w:type="dxa"/>
            </w:tcMar>
            <w:vAlign w:val="bottom"/>
          </w:tcPr>
          <w:p w14:paraId="3C95730D" w14:textId="07E7487A" w:rsidR="13D05368" w:rsidRDefault="13D05368" w:rsidP="13D05368">
            <w:pPr>
              <w:rPr>
                <w:rFonts w:eastAsia="Arial"/>
                <w:sz w:val="22"/>
              </w:rPr>
            </w:pPr>
            <w:r w:rsidRPr="13D05368">
              <w:rPr>
                <w:rFonts w:eastAsia="Arial"/>
                <w:sz w:val="22"/>
              </w:rPr>
              <w:t>227 (58.2%)</w:t>
            </w:r>
          </w:p>
        </w:tc>
      </w:tr>
      <w:tr w:rsidR="13D05368" w14:paraId="048D21E1" w14:textId="77777777" w:rsidTr="13D05368">
        <w:trPr>
          <w:trHeight w:val="300"/>
        </w:trPr>
        <w:tc>
          <w:tcPr>
            <w:tcW w:w="6900" w:type="dxa"/>
            <w:tcBorders>
              <w:top w:val="nil"/>
              <w:left w:val="nil"/>
              <w:bottom w:val="nil"/>
              <w:right w:val="nil"/>
            </w:tcBorders>
            <w:tcMar>
              <w:left w:w="105" w:type="dxa"/>
              <w:right w:w="105" w:type="dxa"/>
            </w:tcMar>
            <w:vAlign w:val="bottom"/>
          </w:tcPr>
          <w:p w14:paraId="538E908E" w14:textId="5CC97CA8" w:rsidR="13D05368" w:rsidRDefault="13D05368" w:rsidP="13D05368">
            <w:pPr>
              <w:rPr>
                <w:rFonts w:eastAsia="Arial"/>
                <w:sz w:val="22"/>
              </w:rPr>
            </w:pPr>
            <w:r w:rsidRPr="13D05368">
              <w:rPr>
                <w:rFonts w:eastAsia="Arial"/>
                <w:sz w:val="22"/>
              </w:rPr>
              <w:t xml:space="preserve">   Yes</w:t>
            </w:r>
          </w:p>
        </w:tc>
        <w:tc>
          <w:tcPr>
            <w:tcW w:w="2385" w:type="dxa"/>
            <w:tcBorders>
              <w:top w:val="nil"/>
              <w:left w:val="nil"/>
              <w:bottom w:val="nil"/>
              <w:right w:val="nil"/>
            </w:tcBorders>
            <w:tcMar>
              <w:left w:w="105" w:type="dxa"/>
              <w:right w:w="105" w:type="dxa"/>
            </w:tcMar>
            <w:vAlign w:val="bottom"/>
          </w:tcPr>
          <w:p w14:paraId="4FC9E18D" w14:textId="3137047D" w:rsidR="13D05368" w:rsidRDefault="13D05368" w:rsidP="13D05368">
            <w:pPr>
              <w:rPr>
                <w:rFonts w:eastAsia="Arial"/>
                <w:sz w:val="22"/>
              </w:rPr>
            </w:pPr>
            <w:r w:rsidRPr="13D05368">
              <w:rPr>
                <w:rFonts w:eastAsia="Arial"/>
                <w:sz w:val="22"/>
              </w:rPr>
              <w:t>154 (39.5%)</w:t>
            </w:r>
          </w:p>
        </w:tc>
      </w:tr>
      <w:tr w:rsidR="13D05368" w14:paraId="1E7A4914" w14:textId="77777777" w:rsidTr="13D05368">
        <w:trPr>
          <w:trHeight w:val="300"/>
        </w:trPr>
        <w:tc>
          <w:tcPr>
            <w:tcW w:w="6900" w:type="dxa"/>
            <w:tcBorders>
              <w:top w:val="nil"/>
              <w:left w:val="nil"/>
              <w:bottom w:val="nil"/>
              <w:right w:val="nil"/>
            </w:tcBorders>
            <w:tcMar>
              <w:left w:w="105" w:type="dxa"/>
              <w:right w:w="105" w:type="dxa"/>
            </w:tcMar>
            <w:vAlign w:val="bottom"/>
          </w:tcPr>
          <w:p w14:paraId="63CC7473" w14:textId="72819C22" w:rsidR="13D05368" w:rsidRDefault="13D05368" w:rsidP="13D05368">
            <w:pPr>
              <w:rPr>
                <w:rFonts w:eastAsia="Arial"/>
                <w:sz w:val="22"/>
              </w:rPr>
            </w:pPr>
            <w:r w:rsidRPr="13D05368">
              <w:rPr>
                <w:rFonts w:eastAsia="Arial"/>
                <w:sz w:val="22"/>
              </w:rPr>
              <w:t xml:space="preserve">   Missing</w:t>
            </w:r>
          </w:p>
        </w:tc>
        <w:tc>
          <w:tcPr>
            <w:tcW w:w="2385" w:type="dxa"/>
            <w:tcBorders>
              <w:top w:val="nil"/>
              <w:left w:val="nil"/>
              <w:bottom w:val="nil"/>
              <w:right w:val="nil"/>
            </w:tcBorders>
            <w:tcMar>
              <w:left w:w="105" w:type="dxa"/>
              <w:right w:w="105" w:type="dxa"/>
            </w:tcMar>
            <w:vAlign w:val="bottom"/>
          </w:tcPr>
          <w:p w14:paraId="570BDC79" w14:textId="555D4961" w:rsidR="13D05368" w:rsidRDefault="13D05368" w:rsidP="13D05368">
            <w:pPr>
              <w:rPr>
                <w:rFonts w:eastAsia="Arial"/>
                <w:sz w:val="22"/>
              </w:rPr>
            </w:pPr>
            <w:r w:rsidRPr="13D05368">
              <w:rPr>
                <w:rFonts w:eastAsia="Arial"/>
                <w:sz w:val="22"/>
              </w:rPr>
              <w:t>9 (2.3%)</w:t>
            </w:r>
          </w:p>
        </w:tc>
      </w:tr>
      <w:tr w:rsidR="13D05368" w14:paraId="286F3165" w14:textId="77777777" w:rsidTr="13D05368">
        <w:trPr>
          <w:trHeight w:val="300"/>
        </w:trPr>
        <w:tc>
          <w:tcPr>
            <w:tcW w:w="6900" w:type="dxa"/>
            <w:tcBorders>
              <w:top w:val="nil"/>
              <w:left w:val="nil"/>
              <w:bottom w:val="nil"/>
              <w:right w:val="nil"/>
            </w:tcBorders>
            <w:tcMar>
              <w:left w:w="105" w:type="dxa"/>
              <w:right w:w="105" w:type="dxa"/>
            </w:tcMar>
            <w:vAlign w:val="bottom"/>
          </w:tcPr>
          <w:p w14:paraId="78587C7A" w14:textId="6D0B27F1" w:rsidR="13D05368" w:rsidRDefault="13D05368" w:rsidP="13D05368">
            <w:pPr>
              <w:rPr>
                <w:rFonts w:eastAsia="Arial"/>
                <w:sz w:val="22"/>
              </w:rPr>
            </w:pPr>
            <w:r w:rsidRPr="13D05368">
              <w:rPr>
                <w:rFonts w:eastAsia="Arial"/>
                <w:sz w:val="22"/>
              </w:rPr>
              <w:t>Annualized Diet Costs</w:t>
            </w:r>
          </w:p>
        </w:tc>
        <w:tc>
          <w:tcPr>
            <w:tcW w:w="2385" w:type="dxa"/>
            <w:tcBorders>
              <w:top w:val="nil"/>
              <w:left w:val="nil"/>
              <w:bottom w:val="nil"/>
              <w:right w:val="nil"/>
            </w:tcBorders>
            <w:tcMar>
              <w:left w:w="105" w:type="dxa"/>
              <w:right w:w="105" w:type="dxa"/>
            </w:tcMar>
            <w:vAlign w:val="bottom"/>
          </w:tcPr>
          <w:p w14:paraId="752A5421" w14:textId="0EA8F1AD" w:rsidR="13D05368" w:rsidRDefault="13D05368" w:rsidP="13D05368">
            <w:pPr>
              <w:rPr>
                <w:rFonts w:eastAsia="Arial"/>
                <w:sz w:val="22"/>
              </w:rPr>
            </w:pPr>
            <w:r w:rsidRPr="13D05368">
              <w:rPr>
                <w:rFonts w:eastAsia="Arial"/>
                <w:sz w:val="22"/>
              </w:rPr>
              <w:t>2955.7 (3010.2)</w:t>
            </w:r>
          </w:p>
        </w:tc>
      </w:tr>
      <w:tr w:rsidR="13D05368" w14:paraId="1AB1945A" w14:textId="77777777" w:rsidTr="13D05368">
        <w:trPr>
          <w:trHeight w:val="300"/>
        </w:trPr>
        <w:tc>
          <w:tcPr>
            <w:tcW w:w="6900" w:type="dxa"/>
            <w:tcBorders>
              <w:top w:val="nil"/>
              <w:left w:val="nil"/>
              <w:bottom w:val="nil"/>
              <w:right w:val="nil"/>
            </w:tcBorders>
            <w:tcMar>
              <w:left w:w="105" w:type="dxa"/>
              <w:right w:w="105" w:type="dxa"/>
            </w:tcMar>
            <w:vAlign w:val="bottom"/>
          </w:tcPr>
          <w:p w14:paraId="1CABC860" w14:textId="0580E47E" w:rsidR="13D05368" w:rsidRDefault="13D05368" w:rsidP="13D05368">
            <w:pPr>
              <w:rPr>
                <w:rFonts w:eastAsia="Arial"/>
                <w:sz w:val="22"/>
              </w:rPr>
            </w:pPr>
            <w:r w:rsidRPr="13D05368">
              <w:rPr>
                <w:rFonts w:eastAsia="Arial"/>
                <w:sz w:val="22"/>
              </w:rPr>
              <w:t>Any Epi Costs?</w:t>
            </w:r>
          </w:p>
        </w:tc>
        <w:tc>
          <w:tcPr>
            <w:tcW w:w="2385" w:type="dxa"/>
            <w:tcBorders>
              <w:top w:val="nil"/>
              <w:left w:val="nil"/>
              <w:bottom w:val="nil"/>
              <w:right w:val="nil"/>
            </w:tcBorders>
            <w:tcMar>
              <w:left w:w="105" w:type="dxa"/>
              <w:right w:w="105" w:type="dxa"/>
            </w:tcMar>
            <w:vAlign w:val="bottom"/>
          </w:tcPr>
          <w:p w14:paraId="1BEEC628" w14:textId="3134CD98" w:rsidR="13D05368" w:rsidRDefault="13D05368" w:rsidP="13D05368">
            <w:pPr>
              <w:rPr>
                <w:rFonts w:eastAsia="Arial"/>
                <w:sz w:val="22"/>
              </w:rPr>
            </w:pPr>
          </w:p>
        </w:tc>
      </w:tr>
      <w:tr w:rsidR="13D05368" w14:paraId="0E7C387A" w14:textId="77777777" w:rsidTr="13D05368">
        <w:trPr>
          <w:trHeight w:val="300"/>
        </w:trPr>
        <w:tc>
          <w:tcPr>
            <w:tcW w:w="6900" w:type="dxa"/>
            <w:tcBorders>
              <w:top w:val="nil"/>
              <w:left w:val="nil"/>
              <w:bottom w:val="nil"/>
              <w:right w:val="nil"/>
            </w:tcBorders>
            <w:tcMar>
              <w:left w:w="105" w:type="dxa"/>
              <w:right w:w="105" w:type="dxa"/>
            </w:tcMar>
            <w:vAlign w:val="bottom"/>
          </w:tcPr>
          <w:p w14:paraId="3E4BD503" w14:textId="0ACF4107" w:rsidR="13D05368" w:rsidRDefault="13D05368" w:rsidP="13D05368">
            <w:pPr>
              <w:rPr>
                <w:rFonts w:eastAsia="Arial"/>
                <w:sz w:val="22"/>
              </w:rPr>
            </w:pPr>
            <w:r w:rsidRPr="13D05368">
              <w:rPr>
                <w:rFonts w:eastAsia="Arial"/>
                <w:sz w:val="22"/>
              </w:rPr>
              <w:t xml:space="preserve">   No</w:t>
            </w:r>
          </w:p>
        </w:tc>
        <w:tc>
          <w:tcPr>
            <w:tcW w:w="2385" w:type="dxa"/>
            <w:tcBorders>
              <w:top w:val="nil"/>
              <w:left w:val="nil"/>
              <w:bottom w:val="nil"/>
              <w:right w:val="nil"/>
            </w:tcBorders>
            <w:tcMar>
              <w:left w:w="105" w:type="dxa"/>
              <w:right w:w="105" w:type="dxa"/>
            </w:tcMar>
            <w:vAlign w:val="bottom"/>
          </w:tcPr>
          <w:p w14:paraId="602DE94F" w14:textId="3FFC63B6" w:rsidR="13D05368" w:rsidRDefault="13D05368" w:rsidP="13D05368">
            <w:pPr>
              <w:rPr>
                <w:rFonts w:eastAsia="Arial"/>
                <w:sz w:val="22"/>
              </w:rPr>
            </w:pPr>
            <w:r w:rsidRPr="13D05368">
              <w:rPr>
                <w:rFonts w:eastAsia="Arial"/>
                <w:sz w:val="22"/>
              </w:rPr>
              <w:t>214 (54.9%)</w:t>
            </w:r>
          </w:p>
        </w:tc>
      </w:tr>
      <w:tr w:rsidR="13D05368" w14:paraId="1857831A" w14:textId="77777777" w:rsidTr="13D05368">
        <w:trPr>
          <w:trHeight w:val="300"/>
        </w:trPr>
        <w:tc>
          <w:tcPr>
            <w:tcW w:w="6900" w:type="dxa"/>
            <w:tcBorders>
              <w:top w:val="nil"/>
              <w:left w:val="nil"/>
              <w:bottom w:val="nil"/>
              <w:right w:val="nil"/>
            </w:tcBorders>
            <w:tcMar>
              <w:left w:w="105" w:type="dxa"/>
              <w:right w:w="105" w:type="dxa"/>
            </w:tcMar>
            <w:vAlign w:val="bottom"/>
          </w:tcPr>
          <w:p w14:paraId="6EA868F3" w14:textId="6A7536CF" w:rsidR="13D05368" w:rsidRDefault="13D05368" w:rsidP="13D05368">
            <w:pPr>
              <w:rPr>
                <w:rFonts w:eastAsia="Arial"/>
                <w:sz w:val="22"/>
              </w:rPr>
            </w:pPr>
            <w:r w:rsidRPr="13D05368">
              <w:rPr>
                <w:rFonts w:eastAsia="Arial"/>
                <w:sz w:val="22"/>
              </w:rPr>
              <w:t xml:space="preserve">   Yes</w:t>
            </w:r>
          </w:p>
        </w:tc>
        <w:tc>
          <w:tcPr>
            <w:tcW w:w="2385" w:type="dxa"/>
            <w:tcBorders>
              <w:top w:val="nil"/>
              <w:left w:val="nil"/>
              <w:bottom w:val="nil"/>
              <w:right w:val="nil"/>
            </w:tcBorders>
            <w:tcMar>
              <w:left w:w="105" w:type="dxa"/>
              <w:right w:w="105" w:type="dxa"/>
            </w:tcMar>
            <w:vAlign w:val="bottom"/>
          </w:tcPr>
          <w:p w14:paraId="011E5578" w14:textId="2EC2ABD2" w:rsidR="13D05368" w:rsidRDefault="13D05368" w:rsidP="13D05368">
            <w:pPr>
              <w:rPr>
                <w:rFonts w:eastAsia="Arial"/>
                <w:sz w:val="22"/>
              </w:rPr>
            </w:pPr>
            <w:r w:rsidRPr="13D05368">
              <w:rPr>
                <w:rFonts w:eastAsia="Arial"/>
                <w:sz w:val="22"/>
              </w:rPr>
              <w:t>165 (42.3%)</w:t>
            </w:r>
          </w:p>
        </w:tc>
      </w:tr>
      <w:tr w:rsidR="13D05368" w14:paraId="51A89D8F" w14:textId="77777777" w:rsidTr="13D05368">
        <w:trPr>
          <w:trHeight w:val="300"/>
        </w:trPr>
        <w:tc>
          <w:tcPr>
            <w:tcW w:w="6900" w:type="dxa"/>
            <w:tcBorders>
              <w:top w:val="nil"/>
              <w:left w:val="nil"/>
              <w:bottom w:val="nil"/>
              <w:right w:val="nil"/>
            </w:tcBorders>
            <w:tcMar>
              <w:left w:w="105" w:type="dxa"/>
              <w:right w:w="105" w:type="dxa"/>
            </w:tcMar>
            <w:vAlign w:val="bottom"/>
          </w:tcPr>
          <w:p w14:paraId="17FD012C" w14:textId="32129E0C" w:rsidR="13D05368" w:rsidRDefault="13D05368" w:rsidP="13D05368">
            <w:pPr>
              <w:rPr>
                <w:rFonts w:eastAsia="Arial"/>
                <w:sz w:val="22"/>
              </w:rPr>
            </w:pPr>
            <w:r w:rsidRPr="13D05368">
              <w:rPr>
                <w:rFonts w:eastAsia="Arial"/>
                <w:sz w:val="22"/>
              </w:rPr>
              <w:t xml:space="preserve">   Missing</w:t>
            </w:r>
          </w:p>
        </w:tc>
        <w:tc>
          <w:tcPr>
            <w:tcW w:w="2385" w:type="dxa"/>
            <w:tcBorders>
              <w:top w:val="nil"/>
              <w:left w:val="nil"/>
              <w:bottom w:val="nil"/>
              <w:right w:val="nil"/>
            </w:tcBorders>
            <w:tcMar>
              <w:left w:w="105" w:type="dxa"/>
              <w:right w:w="105" w:type="dxa"/>
            </w:tcMar>
            <w:vAlign w:val="bottom"/>
          </w:tcPr>
          <w:p w14:paraId="19624497" w14:textId="089C0D64" w:rsidR="13D05368" w:rsidRDefault="13D05368" w:rsidP="13D05368">
            <w:pPr>
              <w:rPr>
                <w:rFonts w:eastAsia="Arial"/>
                <w:sz w:val="22"/>
              </w:rPr>
            </w:pPr>
            <w:r w:rsidRPr="13D05368">
              <w:rPr>
                <w:rFonts w:eastAsia="Arial"/>
                <w:sz w:val="22"/>
              </w:rPr>
              <w:t>11 (2.8%)</w:t>
            </w:r>
          </w:p>
        </w:tc>
      </w:tr>
      <w:tr w:rsidR="13D05368" w14:paraId="472BFE1E" w14:textId="77777777" w:rsidTr="13D05368">
        <w:trPr>
          <w:trHeight w:val="300"/>
        </w:trPr>
        <w:tc>
          <w:tcPr>
            <w:tcW w:w="6900" w:type="dxa"/>
            <w:tcBorders>
              <w:top w:val="nil"/>
              <w:left w:val="nil"/>
              <w:bottom w:val="nil"/>
              <w:right w:val="nil"/>
            </w:tcBorders>
            <w:tcMar>
              <w:left w:w="105" w:type="dxa"/>
              <w:right w:w="105" w:type="dxa"/>
            </w:tcMar>
            <w:vAlign w:val="bottom"/>
          </w:tcPr>
          <w:p w14:paraId="2107CF7E" w14:textId="07DC5289" w:rsidR="13D05368" w:rsidRDefault="13D05368" w:rsidP="13D05368">
            <w:pPr>
              <w:rPr>
                <w:rFonts w:eastAsia="Arial"/>
                <w:sz w:val="22"/>
              </w:rPr>
            </w:pPr>
            <w:r w:rsidRPr="13D05368">
              <w:rPr>
                <w:rFonts w:eastAsia="Arial"/>
                <w:sz w:val="22"/>
              </w:rPr>
              <w:t>Annualized Epinephrine Costs</w:t>
            </w:r>
          </w:p>
        </w:tc>
        <w:tc>
          <w:tcPr>
            <w:tcW w:w="2385" w:type="dxa"/>
            <w:tcBorders>
              <w:top w:val="nil"/>
              <w:left w:val="nil"/>
              <w:bottom w:val="nil"/>
              <w:right w:val="nil"/>
            </w:tcBorders>
            <w:tcMar>
              <w:left w:w="105" w:type="dxa"/>
              <w:right w:w="105" w:type="dxa"/>
            </w:tcMar>
            <w:vAlign w:val="bottom"/>
          </w:tcPr>
          <w:p w14:paraId="207DD2DD" w14:textId="1FA8525B" w:rsidR="13D05368" w:rsidRDefault="13D05368" w:rsidP="13D05368">
            <w:pPr>
              <w:rPr>
                <w:rFonts w:eastAsia="Arial"/>
                <w:sz w:val="22"/>
              </w:rPr>
            </w:pPr>
            <w:r w:rsidRPr="13D05368">
              <w:rPr>
                <w:rFonts w:eastAsia="Arial"/>
                <w:sz w:val="22"/>
              </w:rPr>
              <w:t>445.6 (2680.3)</w:t>
            </w:r>
          </w:p>
        </w:tc>
      </w:tr>
      <w:tr w:rsidR="13D05368" w14:paraId="0273CE2A" w14:textId="77777777" w:rsidTr="13D05368">
        <w:trPr>
          <w:trHeight w:val="300"/>
        </w:trPr>
        <w:tc>
          <w:tcPr>
            <w:tcW w:w="6900" w:type="dxa"/>
            <w:tcBorders>
              <w:top w:val="nil"/>
              <w:left w:val="nil"/>
              <w:bottom w:val="nil"/>
              <w:right w:val="nil"/>
            </w:tcBorders>
            <w:tcMar>
              <w:left w:w="105" w:type="dxa"/>
              <w:right w:w="105" w:type="dxa"/>
            </w:tcMar>
            <w:vAlign w:val="bottom"/>
          </w:tcPr>
          <w:p w14:paraId="7BB389EB" w14:textId="54B4EFEC" w:rsidR="13D05368" w:rsidRDefault="13D05368" w:rsidP="13D05368">
            <w:pPr>
              <w:rPr>
                <w:rFonts w:eastAsia="Arial"/>
                <w:sz w:val="22"/>
              </w:rPr>
            </w:pPr>
            <w:r w:rsidRPr="13D05368">
              <w:rPr>
                <w:rFonts w:eastAsia="Arial"/>
                <w:sz w:val="22"/>
              </w:rPr>
              <w:t xml:space="preserve">Any </w:t>
            </w:r>
            <w:r w:rsidR="00AE6783" w:rsidRPr="13D05368">
              <w:rPr>
                <w:rFonts w:eastAsia="Arial"/>
                <w:sz w:val="22"/>
              </w:rPr>
              <w:t>Antihistamine</w:t>
            </w:r>
            <w:r w:rsidRPr="13D05368">
              <w:rPr>
                <w:rFonts w:eastAsia="Arial"/>
                <w:sz w:val="22"/>
              </w:rPr>
              <w:t xml:space="preserve"> Costs?</w:t>
            </w:r>
          </w:p>
        </w:tc>
        <w:tc>
          <w:tcPr>
            <w:tcW w:w="2385" w:type="dxa"/>
            <w:tcBorders>
              <w:top w:val="nil"/>
              <w:left w:val="nil"/>
              <w:bottom w:val="nil"/>
              <w:right w:val="nil"/>
            </w:tcBorders>
            <w:tcMar>
              <w:left w:w="105" w:type="dxa"/>
              <w:right w:w="105" w:type="dxa"/>
            </w:tcMar>
            <w:vAlign w:val="bottom"/>
          </w:tcPr>
          <w:p w14:paraId="2DAA3A13" w14:textId="7764ECFC" w:rsidR="13D05368" w:rsidRDefault="13D05368" w:rsidP="13D05368">
            <w:pPr>
              <w:rPr>
                <w:rFonts w:eastAsia="Arial"/>
                <w:sz w:val="22"/>
              </w:rPr>
            </w:pPr>
          </w:p>
        </w:tc>
      </w:tr>
      <w:tr w:rsidR="13D05368" w14:paraId="35A9AFE2" w14:textId="77777777" w:rsidTr="13D05368">
        <w:trPr>
          <w:trHeight w:val="300"/>
        </w:trPr>
        <w:tc>
          <w:tcPr>
            <w:tcW w:w="6900" w:type="dxa"/>
            <w:tcBorders>
              <w:top w:val="nil"/>
              <w:left w:val="nil"/>
              <w:bottom w:val="nil"/>
              <w:right w:val="nil"/>
            </w:tcBorders>
            <w:tcMar>
              <w:left w:w="105" w:type="dxa"/>
              <w:right w:w="105" w:type="dxa"/>
            </w:tcMar>
            <w:vAlign w:val="bottom"/>
          </w:tcPr>
          <w:p w14:paraId="47DBD06D" w14:textId="396447EB" w:rsidR="13D05368" w:rsidRDefault="13D05368" w:rsidP="13D05368">
            <w:pPr>
              <w:rPr>
                <w:rFonts w:eastAsia="Arial"/>
                <w:sz w:val="22"/>
              </w:rPr>
            </w:pPr>
            <w:r w:rsidRPr="13D05368">
              <w:rPr>
                <w:rFonts w:eastAsia="Arial"/>
                <w:sz w:val="22"/>
              </w:rPr>
              <w:t xml:space="preserve">   No</w:t>
            </w:r>
          </w:p>
        </w:tc>
        <w:tc>
          <w:tcPr>
            <w:tcW w:w="2385" w:type="dxa"/>
            <w:tcBorders>
              <w:top w:val="nil"/>
              <w:left w:val="nil"/>
              <w:bottom w:val="nil"/>
              <w:right w:val="nil"/>
            </w:tcBorders>
            <w:tcMar>
              <w:left w:w="105" w:type="dxa"/>
              <w:right w:w="105" w:type="dxa"/>
            </w:tcMar>
            <w:vAlign w:val="bottom"/>
          </w:tcPr>
          <w:p w14:paraId="6951BBA3" w14:textId="7F0EC06F" w:rsidR="13D05368" w:rsidRDefault="13D05368" w:rsidP="13D05368">
            <w:pPr>
              <w:rPr>
                <w:rFonts w:eastAsia="Arial"/>
                <w:sz w:val="22"/>
              </w:rPr>
            </w:pPr>
            <w:r w:rsidRPr="13D05368">
              <w:rPr>
                <w:rFonts w:eastAsia="Arial"/>
                <w:sz w:val="22"/>
              </w:rPr>
              <w:t>110 (28.2%)</w:t>
            </w:r>
          </w:p>
        </w:tc>
      </w:tr>
      <w:tr w:rsidR="13D05368" w14:paraId="1E40FE53" w14:textId="77777777" w:rsidTr="13D05368">
        <w:trPr>
          <w:trHeight w:val="300"/>
        </w:trPr>
        <w:tc>
          <w:tcPr>
            <w:tcW w:w="6900" w:type="dxa"/>
            <w:tcBorders>
              <w:top w:val="nil"/>
              <w:left w:val="nil"/>
              <w:bottom w:val="nil"/>
              <w:right w:val="nil"/>
            </w:tcBorders>
            <w:tcMar>
              <w:left w:w="105" w:type="dxa"/>
              <w:right w:w="105" w:type="dxa"/>
            </w:tcMar>
            <w:vAlign w:val="bottom"/>
          </w:tcPr>
          <w:p w14:paraId="48E06EB6" w14:textId="6F084DD3" w:rsidR="13D05368" w:rsidRDefault="13D05368" w:rsidP="13D05368">
            <w:pPr>
              <w:rPr>
                <w:rFonts w:eastAsia="Arial"/>
                <w:sz w:val="22"/>
              </w:rPr>
            </w:pPr>
            <w:r w:rsidRPr="13D05368">
              <w:rPr>
                <w:rFonts w:eastAsia="Arial"/>
                <w:sz w:val="22"/>
              </w:rPr>
              <w:t xml:space="preserve">   Yes</w:t>
            </w:r>
          </w:p>
        </w:tc>
        <w:tc>
          <w:tcPr>
            <w:tcW w:w="2385" w:type="dxa"/>
            <w:tcBorders>
              <w:top w:val="nil"/>
              <w:left w:val="nil"/>
              <w:bottom w:val="nil"/>
              <w:right w:val="nil"/>
            </w:tcBorders>
            <w:tcMar>
              <w:left w:w="105" w:type="dxa"/>
              <w:right w:w="105" w:type="dxa"/>
            </w:tcMar>
            <w:vAlign w:val="bottom"/>
          </w:tcPr>
          <w:p w14:paraId="67BB47D2" w14:textId="6E8FC82E" w:rsidR="13D05368" w:rsidRDefault="13D05368" w:rsidP="13D05368">
            <w:pPr>
              <w:rPr>
                <w:rFonts w:eastAsia="Arial"/>
                <w:sz w:val="22"/>
              </w:rPr>
            </w:pPr>
            <w:r w:rsidRPr="13D05368">
              <w:rPr>
                <w:rFonts w:eastAsia="Arial"/>
                <w:sz w:val="22"/>
              </w:rPr>
              <w:t>277 (71.0%)</w:t>
            </w:r>
          </w:p>
        </w:tc>
      </w:tr>
      <w:tr w:rsidR="13D05368" w14:paraId="538AB2F1" w14:textId="77777777" w:rsidTr="13D05368">
        <w:trPr>
          <w:trHeight w:val="300"/>
        </w:trPr>
        <w:tc>
          <w:tcPr>
            <w:tcW w:w="6900" w:type="dxa"/>
            <w:tcBorders>
              <w:top w:val="nil"/>
              <w:left w:val="nil"/>
              <w:bottom w:val="nil"/>
              <w:right w:val="nil"/>
            </w:tcBorders>
            <w:tcMar>
              <w:left w:w="105" w:type="dxa"/>
              <w:right w:w="105" w:type="dxa"/>
            </w:tcMar>
            <w:vAlign w:val="bottom"/>
          </w:tcPr>
          <w:p w14:paraId="2C96320B" w14:textId="3AED3A72" w:rsidR="13D05368" w:rsidRDefault="13D05368" w:rsidP="13D05368">
            <w:pPr>
              <w:rPr>
                <w:rFonts w:eastAsia="Arial"/>
                <w:sz w:val="22"/>
              </w:rPr>
            </w:pPr>
            <w:r w:rsidRPr="13D05368">
              <w:rPr>
                <w:rFonts w:eastAsia="Arial"/>
                <w:sz w:val="22"/>
              </w:rPr>
              <w:t xml:space="preserve">   Missing</w:t>
            </w:r>
          </w:p>
        </w:tc>
        <w:tc>
          <w:tcPr>
            <w:tcW w:w="2385" w:type="dxa"/>
            <w:tcBorders>
              <w:top w:val="nil"/>
              <w:left w:val="nil"/>
              <w:bottom w:val="nil"/>
              <w:right w:val="nil"/>
            </w:tcBorders>
            <w:tcMar>
              <w:left w:w="105" w:type="dxa"/>
              <w:right w:w="105" w:type="dxa"/>
            </w:tcMar>
            <w:vAlign w:val="bottom"/>
          </w:tcPr>
          <w:p w14:paraId="16B89A4F" w14:textId="7FB72725" w:rsidR="13D05368" w:rsidRDefault="13D05368" w:rsidP="13D05368">
            <w:pPr>
              <w:rPr>
                <w:rFonts w:eastAsia="Arial"/>
                <w:sz w:val="22"/>
              </w:rPr>
            </w:pPr>
            <w:r w:rsidRPr="13D05368">
              <w:rPr>
                <w:rFonts w:eastAsia="Arial"/>
                <w:sz w:val="22"/>
              </w:rPr>
              <w:t>3 (0.8%)</w:t>
            </w:r>
          </w:p>
        </w:tc>
      </w:tr>
      <w:tr w:rsidR="13D05368" w14:paraId="6A595A4F" w14:textId="77777777" w:rsidTr="13D05368">
        <w:trPr>
          <w:trHeight w:val="300"/>
        </w:trPr>
        <w:tc>
          <w:tcPr>
            <w:tcW w:w="6900" w:type="dxa"/>
            <w:tcBorders>
              <w:top w:val="nil"/>
              <w:left w:val="nil"/>
              <w:bottom w:val="nil"/>
              <w:right w:val="nil"/>
            </w:tcBorders>
            <w:tcMar>
              <w:left w:w="105" w:type="dxa"/>
              <w:right w:w="105" w:type="dxa"/>
            </w:tcMar>
            <w:vAlign w:val="bottom"/>
          </w:tcPr>
          <w:p w14:paraId="006C13F8" w14:textId="55B33801" w:rsidR="13D05368" w:rsidRDefault="13D05368" w:rsidP="13D05368">
            <w:pPr>
              <w:rPr>
                <w:rFonts w:eastAsia="Arial"/>
                <w:sz w:val="22"/>
              </w:rPr>
            </w:pPr>
            <w:r w:rsidRPr="13D05368">
              <w:rPr>
                <w:rFonts w:eastAsia="Arial"/>
                <w:sz w:val="22"/>
              </w:rPr>
              <w:t>Annualized Antihistamine Costs</w:t>
            </w:r>
          </w:p>
        </w:tc>
        <w:tc>
          <w:tcPr>
            <w:tcW w:w="2385" w:type="dxa"/>
            <w:tcBorders>
              <w:top w:val="nil"/>
              <w:left w:val="nil"/>
              <w:bottom w:val="nil"/>
              <w:right w:val="nil"/>
            </w:tcBorders>
            <w:tcMar>
              <w:left w:w="105" w:type="dxa"/>
              <w:right w:w="105" w:type="dxa"/>
            </w:tcMar>
            <w:vAlign w:val="bottom"/>
          </w:tcPr>
          <w:p w14:paraId="35F61E68" w14:textId="302A1C7F" w:rsidR="13D05368" w:rsidRDefault="13D05368" w:rsidP="13D05368">
            <w:pPr>
              <w:rPr>
                <w:rFonts w:eastAsia="Arial"/>
                <w:sz w:val="22"/>
              </w:rPr>
            </w:pPr>
            <w:r w:rsidRPr="13D05368">
              <w:rPr>
                <w:rFonts w:eastAsia="Arial"/>
                <w:sz w:val="22"/>
              </w:rPr>
              <w:t>264.9 (642.9)</w:t>
            </w:r>
          </w:p>
        </w:tc>
      </w:tr>
      <w:tr w:rsidR="13D05368" w14:paraId="7CC88A8A" w14:textId="77777777" w:rsidTr="13D05368">
        <w:trPr>
          <w:trHeight w:val="300"/>
        </w:trPr>
        <w:tc>
          <w:tcPr>
            <w:tcW w:w="6900" w:type="dxa"/>
            <w:tcBorders>
              <w:top w:val="nil"/>
              <w:left w:val="nil"/>
              <w:bottom w:val="nil"/>
              <w:right w:val="nil"/>
            </w:tcBorders>
            <w:tcMar>
              <w:left w:w="105" w:type="dxa"/>
              <w:right w:w="105" w:type="dxa"/>
            </w:tcMar>
            <w:vAlign w:val="bottom"/>
          </w:tcPr>
          <w:p w14:paraId="5AB87793" w14:textId="560B1459" w:rsidR="13D05368" w:rsidRDefault="13D05368" w:rsidP="13D05368">
            <w:pPr>
              <w:rPr>
                <w:rFonts w:eastAsia="Arial"/>
                <w:sz w:val="22"/>
              </w:rPr>
            </w:pPr>
            <w:r w:rsidRPr="13D05368">
              <w:rPr>
                <w:rFonts w:eastAsia="Arial"/>
                <w:sz w:val="22"/>
              </w:rPr>
              <w:t>Needed to See a Medical Provider due to FA?</w:t>
            </w:r>
          </w:p>
        </w:tc>
        <w:tc>
          <w:tcPr>
            <w:tcW w:w="2385" w:type="dxa"/>
            <w:tcBorders>
              <w:top w:val="nil"/>
              <w:left w:val="nil"/>
              <w:bottom w:val="nil"/>
              <w:right w:val="nil"/>
            </w:tcBorders>
            <w:tcMar>
              <w:left w:w="105" w:type="dxa"/>
              <w:right w:w="105" w:type="dxa"/>
            </w:tcMar>
            <w:vAlign w:val="bottom"/>
          </w:tcPr>
          <w:p w14:paraId="0C83CCE1" w14:textId="237B0464" w:rsidR="13D05368" w:rsidRDefault="13D05368" w:rsidP="13D05368">
            <w:pPr>
              <w:rPr>
                <w:rFonts w:eastAsia="Arial"/>
                <w:sz w:val="22"/>
              </w:rPr>
            </w:pPr>
          </w:p>
        </w:tc>
      </w:tr>
      <w:tr w:rsidR="13D05368" w14:paraId="4367C0AC" w14:textId="77777777" w:rsidTr="13D05368">
        <w:trPr>
          <w:trHeight w:val="300"/>
        </w:trPr>
        <w:tc>
          <w:tcPr>
            <w:tcW w:w="6900" w:type="dxa"/>
            <w:tcBorders>
              <w:top w:val="nil"/>
              <w:left w:val="nil"/>
              <w:bottom w:val="nil"/>
              <w:right w:val="nil"/>
            </w:tcBorders>
            <w:tcMar>
              <w:left w:w="105" w:type="dxa"/>
              <w:right w:w="105" w:type="dxa"/>
            </w:tcMar>
            <w:vAlign w:val="bottom"/>
          </w:tcPr>
          <w:p w14:paraId="287EFD59" w14:textId="6BC2576F" w:rsidR="13D05368" w:rsidRDefault="13D05368" w:rsidP="13D05368">
            <w:pPr>
              <w:rPr>
                <w:rFonts w:eastAsia="Arial"/>
                <w:sz w:val="22"/>
              </w:rPr>
            </w:pPr>
            <w:r w:rsidRPr="13D05368">
              <w:rPr>
                <w:rFonts w:eastAsia="Arial"/>
                <w:sz w:val="22"/>
              </w:rPr>
              <w:t xml:space="preserve">   No</w:t>
            </w:r>
          </w:p>
        </w:tc>
        <w:tc>
          <w:tcPr>
            <w:tcW w:w="2385" w:type="dxa"/>
            <w:tcBorders>
              <w:top w:val="nil"/>
              <w:left w:val="nil"/>
              <w:bottom w:val="nil"/>
              <w:right w:val="nil"/>
            </w:tcBorders>
            <w:tcMar>
              <w:left w:w="105" w:type="dxa"/>
              <w:right w:w="105" w:type="dxa"/>
            </w:tcMar>
            <w:vAlign w:val="bottom"/>
          </w:tcPr>
          <w:p w14:paraId="66893A44" w14:textId="1F1F7EF8" w:rsidR="13D05368" w:rsidRDefault="13D05368" w:rsidP="13D05368">
            <w:pPr>
              <w:rPr>
                <w:rFonts w:eastAsia="Arial"/>
                <w:sz w:val="22"/>
              </w:rPr>
            </w:pPr>
            <w:r w:rsidRPr="13D05368">
              <w:rPr>
                <w:rFonts w:eastAsia="Arial"/>
                <w:sz w:val="22"/>
              </w:rPr>
              <w:t>200 (51.3%)</w:t>
            </w:r>
          </w:p>
        </w:tc>
      </w:tr>
      <w:tr w:rsidR="13D05368" w14:paraId="6CB051A6" w14:textId="77777777" w:rsidTr="13D05368">
        <w:trPr>
          <w:trHeight w:val="300"/>
        </w:trPr>
        <w:tc>
          <w:tcPr>
            <w:tcW w:w="6900" w:type="dxa"/>
            <w:tcBorders>
              <w:top w:val="nil"/>
              <w:left w:val="nil"/>
              <w:bottom w:val="nil"/>
              <w:right w:val="nil"/>
            </w:tcBorders>
            <w:tcMar>
              <w:left w:w="105" w:type="dxa"/>
              <w:right w:w="105" w:type="dxa"/>
            </w:tcMar>
            <w:vAlign w:val="bottom"/>
          </w:tcPr>
          <w:p w14:paraId="1C0B437C" w14:textId="765E0150" w:rsidR="13D05368" w:rsidRDefault="13D05368" w:rsidP="13D05368">
            <w:pPr>
              <w:rPr>
                <w:rFonts w:eastAsia="Arial"/>
                <w:sz w:val="22"/>
              </w:rPr>
            </w:pPr>
            <w:r w:rsidRPr="13D05368">
              <w:rPr>
                <w:rFonts w:eastAsia="Arial"/>
                <w:sz w:val="22"/>
              </w:rPr>
              <w:t xml:space="preserve">   Yes</w:t>
            </w:r>
          </w:p>
        </w:tc>
        <w:tc>
          <w:tcPr>
            <w:tcW w:w="2385" w:type="dxa"/>
            <w:tcBorders>
              <w:top w:val="nil"/>
              <w:left w:val="nil"/>
              <w:bottom w:val="nil"/>
              <w:right w:val="nil"/>
            </w:tcBorders>
            <w:tcMar>
              <w:left w:w="105" w:type="dxa"/>
              <w:right w:w="105" w:type="dxa"/>
            </w:tcMar>
            <w:vAlign w:val="bottom"/>
          </w:tcPr>
          <w:p w14:paraId="539F2B00" w14:textId="5F55A31E" w:rsidR="13D05368" w:rsidRDefault="13D05368" w:rsidP="13D05368">
            <w:pPr>
              <w:rPr>
                <w:rFonts w:eastAsia="Arial"/>
                <w:sz w:val="22"/>
              </w:rPr>
            </w:pPr>
            <w:r w:rsidRPr="13D05368">
              <w:rPr>
                <w:rFonts w:eastAsia="Arial"/>
                <w:sz w:val="22"/>
              </w:rPr>
              <w:t>189 (48.5%)</w:t>
            </w:r>
          </w:p>
        </w:tc>
      </w:tr>
      <w:tr w:rsidR="13D05368" w14:paraId="505A0CFF" w14:textId="77777777" w:rsidTr="13D05368">
        <w:trPr>
          <w:trHeight w:val="300"/>
        </w:trPr>
        <w:tc>
          <w:tcPr>
            <w:tcW w:w="6900" w:type="dxa"/>
            <w:tcBorders>
              <w:top w:val="nil"/>
              <w:left w:val="nil"/>
              <w:bottom w:val="nil"/>
              <w:right w:val="nil"/>
            </w:tcBorders>
            <w:tcMar>
              <w:left w:w="105" w:type="dxa"/>
              <w:right w:w="105" w:type="dxa"/>
            </w:tcMar>
            <w:vAlign w:val="bottom"/>
          </w:tcPr>
          <w:p w14:paraId="632ACE0E" w14:textId="504DA398" w:rsidR="13D05368" w:rsidRDefault="13D05368" w:rsidP="13D05368">
            <w:pPr>
              <w:rPr>
                <w:rFonts w:eastAsia="Arial"/>
                <w:sz w:val="22"/>
              </w:rPr>
            </w:pPr>
            <w:r w:rsidRPr="13D05368">
              <w:rPr>
                <w:rFonts w:eastAsia="Arial"/>
                <w:sz w:val="22"/>
              </w:rPr>
              <w:t xml:space="preserve">   Missing</w:t>
            </w:r>
          </w:p>
        </w:tc>
        <w:tc>
          <w:tcPr>
            <w:tcW w:w="2385" w:type="dxa"/>
            <w:tcBorders>
              <w:top w:val="nil"/>
              <w:left w:val="nil"/>
              <w:bottom w:val="nil"/>
              <w:right w:val="nil"/>
            </w:tcBorders>
            <w:tcMar>
              <w:left w:w="105" w:type="dxa"/>
              <w:right w:w="105" w:type="dxa"/>
            </w:tcMar>
            <w:vAlign w:val="bottom"/>
          </w:tcPr>
          <w:p w14:paraId="56F40589" w14:textId="29E6C4C7" w:rsidR="13D05368" w:rsidRDefault="13D05368" w:rsidP="13D05368">
            <w:pPr>
              <w:rPr>
                <w:rFonts w:eastAsia="Arial"/>
                <w:sz w:val="22"/>
              </w:rPr>
            </w:pPr>
            <w:r w:rsidRPr="13D05368">
              <w:rPr>
                <w:rFonts w:eastAsia="Arial"/>
                <w:sz w:val="22"/>
              </w:rPr>
              <w:t>1 (0.3%)</w:t>
            </w:r>
          </w:p>
        </w:tc>
      </w:tr>
      <w:tr w:rsidR="13D05368" w14:paraId="026E817E" w14:textId="77777777" w:rsidTr="13D05368">
        <w:trPr>
          <w:trHeight w:val="300"/>
        </w:trPr>
        <w:tc>
          <w:tcPr>
            <w:tcW w:w="6900" w:type="dxa"/>
            <w:tcBorders>
              <w:top w:val="nil"/>
              <w:left w:val="nil"/>
              <w:bottom w:val="nil"/>
              <w:right w:val="nil"/>
            </w:tcBorders>
            <w:tcMar>
              <w:left w:w="105" w:type="dxa"/>
              <w:right w:w="105" w:type="dxa"/>
            </w:tcMar>
            <w:vAlign w:val="bottom"/>
          </w:tcPr>
          <w:p w14:paraId="29FDAB76" w14:textId="3AA2F91B" w:rsidR="13D05368" w:rsidRDefault="13D05368" w:rsidP="13D05368">
            <w:pPr>
              <w:rPr>
                <w:rFonts w:eastAsia="Arial"/>
                <w:sz w:val="22"/>
              </w:rPr>
            </w:pPr>
            <w:r w:rsidRPr="13D05368">
              <w:rPr>
                <w:rFonts w:eastAsia="Arial"/>
                <w:sz w:val="22"/>
              </w:rPr>
              <w:t>Needed to See a Mental Health Provider due to FA?</w:t>
            </w:r>
          </w:p>
        </w:tc>
        <w:tc>
          <w:tcPr>
            <w:tcW w:w="2385" w:type="dxa"/>
            <w:tcBorders>
              <w:top w:val="nil"/>
              <w:left w:val="nil"/>
              <w:bottom w:val="nil"/>
              <w:right w:val="nil"/>
            </w:tcBorders>
            <w:tcMar>
              <w:left w:w="105" w:type="dxa"/>
              <w:right w:w="105" w:type="dxa"/>
            </w:tcMar>
            <w:vAlign w:val="bottom"/>
          </w:tcPr>
          <w:p w14:paraId="5DE71781" w14:textId="4144BEA9" w:rsidR="13D05368" w:rsidRDefault="13D05368" w:rsidP="13D05368">
            <w:pPr>
              <w:rPr>
                <w:rFonts w:eastAsia="Arial"/>
                <w:sz w:val="22"/>
              </w:rPr>
            </w:pPr>
          </w:p>
        </w:tc>
      </w:tr>
      <w:tr w:rsidR="13D05368" w14:paraId="5F956ED4" w14:textId="77777777" w:rsidTr="13D05368">
        <w:trPr>
          <w:trHeight w:val="300"/>
        </w:trPr>
        <w:tc>
          <w:tcPr>
            <w:tcW w:w="6900" w:type="dxa"/>
            <w:tcBorders>
              <w:top w:val="nil"/>
              <w:left w:val="nil"/>
              <w:bottom w:val="nil"/>
              <w:right w:val="nil"/>
            </w:tcBorders>
            <w:tcMar>
              <w:left w:w="105" w:type="dxa"/>
              <w:right w:w="105" w:type="dxa"/>
            </w:tcMar>
            <w:vAlign w:val="bottom"/>
          </w:tcPr>
          <w:p w14:paraId="0BC5180A" w14:textId="514D5F65" w:rsidR="13D05368" w:rsidRDefault="13D05368" w:rsidP="13D05368">
            <w:pPr>
              <w:rPr>
                <w:rFonts w:eastAsia="Arial"/>
                <w:sz w:val="22"/>
              </w:rPr>
            </w:pPr>
            <w:r w:rsidRPr="13D05368">
              <w:rPr>
                <w:rFonts w:eastAsia="Arial"/>
                <w:sz w:val="22"/>
              </w:rPr>
              <w:t xml:space="preserve">   No</w:t>
            </w:r>
          </w:p>
        </w:tc>
        <w:tc>
          <w:tcPr>
            <w:tcW w:w="2385" w:type="dxa"/>
            <w:tcBorders>
              <w:top w:val="nil"/>
              <w:left w:val="nil"/>
              <w:bottom w:val="nil"/>
              <w:right w:val="nil"/>
            </w:tcBorders>
            <w:tcMar>
              <w:left w:w="105" w:type="dxa"/>
              <w:right w:w="105" w:type="dxa"/>
            </w:tcMar>
            <w:vAlign w:val="bottom"/>
          </w:tcPr>
          <w:p w14:paraId="21409FFD" w14:textId="61EBA14C" w:rsidR="13D05368" w:rsidRDefault="13D05368" w:rsidP="13D05368">
            <w:pPr>
              <w:rPr>
                <w:rFonts w:eastAsia="Arial"/>
                <w:sz w:val="22"/>
              </w:rPr>
            </w:pPr>
            <w:r w:rsidRPr="13D05368">
              <w:rPr>
                <w:rFonts w:eastAsia="Arial"/>
                <w:sz w:val="22"/>
              </w:rPr>
              <w:t>370 (94.9%)</w:t>
            </w:r>
          </w:p>
        </w:tc>
      </w:tr>
      <w:tr w:rsidR="13D05368" w14:paraId="76B1ED56" w14:textId="77777777" w:rsidTr="13D05368">
        <w:trPr>
          <w:trHeight w:val="300"/>
        </w:trPr>
        <w:tc>
          <w:tcPr>
            <w:tcW w:w="6900" w:type="dxa"/>
            <w:tcBorders>
              <w:top w:val="nil"/>
              <w:left w:val="nil"/>
              <w:bottom w:val="nil"/>
              <w:right w:val="nil"/>
            </w:tcBorders>
            <w:tcMar>
              <w:left w:w="105" w:type="dxa"/>
              <w:right w:w="105" w:type="dxa"/>
            </w:tcMar>
            <w:vAlign w:val="bottom"/>
          </w:tcPr>
          <w:p w14:paraId="7CC8EFEC" w14:textId="0A35E12E" w:rsidR="13D05368" w:rsidRDefault="13D05368" w:rsidP="13D05368">
            <w:pPr>
              <w:rPr>
                <w:rFonts w:eastAsia="Arial"/>
                <w:sz w:val="22"/>
              </w:rPr>
            </w:pPr>
            <w:r w:rsidRPr="13D05368">
              <w:rPr>
                <w:rFonts w:eastAsia="Arial"/>
                <w:sz w:val="22"/>
              </w:rPr>
              <w:t xml:space="preserve">   Yes</w:t>
            </w:r>
          </w:p>
        </w:tc>
        <w:tc>
          <w:tcPr>
            <w:tcW w:w="2385" w:type="dxa"/>
            <w:tcBorders>
              <w:top w:val="nil"/>
              <w:left w:val="nil"/>
              <w:bottom w:val="nil"/>
              <w:right w:val="nil"/>
            </w:tcBorders>
            <w:tcMar>
              <w:left w:w="105" w:type="dxa"/>
              <w:right w:w="105" w:type="dxa"/>
            </w:tcMar>
            <w:vAlign w:val="bottom"/>
          </w:tcPr>
          <w:p w14:paraId="30635636" w14:textId="5780A014" w:rsidR="13D05368" w:rsidRDefault="13D05368" w:rsidP="13D05368">
            <w:pPr>
              <w:rPr>
                <w:rFonts w:eastAsia="Arial"/>
                <w:sz w:val="22"/>
              </w:rPr>
            </w:pPr>
            <w:r w:rsidRPr="13D05368">
              <w:rPr>
                <w:rFonts w:eastAsia="Arial"/>
                <w:sz w:val="22"/>
              </w:rPr>
              <w:t>18 (4.6%)</w:t>
            </w:r>
          </w:p>
        </w:tc>
      </w:tr>
      <w:tr w:rsidR="13D05368" w14:paraId="21669511" w14:textId="77777777" w:rsidTr="13D05368">
        <w:trPr>
          <w:trHeight w:val="300"/>
        </w:trPr>
        <w:tc>
          <w:tcPr>
            <w:tcW w:w="6900" w:type="dxa"/>
            <w:tcBorders>
              <w:top w:val="nil"/>
              <w:left w:val="nil"/>
              <w:bottom w:val="nil"/>
              <w:right w:val="nil"/>
            </w:tcBorders>
            <w:tcMar>
              <w:left w:w="105" w:type="dxa"/>
              <w:right w:w="105" w:type="dxa"/>
            </w:tcMar>
            <w:vAlign w:val="bottom"/>
          </w:tcPr>
          <w:p w14:paraId="6A5536FF" w14:textId="6094CD92" w:rsidR="13D05368" w:rsidRDefault="13D05368" w:rsidP="13D05368">
            <w:pPr>
              <w:rPr>
                <w:rFonts w:eastAsia="Arial"/>
                <w:sz w:val="22"/>
              </w:rPr>
            </w:pPr>
            <w:r w:rsidRPr="13D05368">
              <w:rPr>
                <w:rFonts w:eastAsia="Arial"/>
                <w:sz w:val="22"/>
              </w:rPr>
              <w:t xml:space="preserve">   Missing</w:t>
            </w:r>
          </w:p>
        </w:tc>
        <w:tc>
          <w:tcPr>
            <w:tcW w:w="2385" w:type="dxa"/>
            <w:tcBorders>
              <w:top w:val="nil"/>
              <w:left w:val="nil"/>
              <w:bottom w:val="nil"/>
              <w:right w:val="nil"/>
            </w:tcBorders>
            <w:tcMar>
              <w:left w:w="105" w:type="dxa"/>
              <w:right w:w="105" w:type="dxa"/>
            </w:tcMar>
            <w:vAlign w:val="bottom"/>
          </w:tcPr>
          <w:p w14:paraId="68568DE1" w14:textId="2F6B19E9" w:rsidR="13D05368" w:rsidRDefault="13D05368" w:rsidP="13D05368">
            <w:pPr>
              <w:rPr>
                <w:rFonts w:eastAsia="Arial"/>
                <w:sz w:val="22"/>
              </w:rPr>
            </w:pPr>
            <w:r w:rsidRPr="13D05368">
              <w:rPr>
                <w:rFonts w:eastAsia="Arial"/>
                <w:sz w:val="22"/>
              </w:rPr>
              <w:t>2 (0.5%)</w:t>
            </w:r>
          </w:p>
        </w:tc>
      </w:tr>
      <w:tr w:rsidR="13D05368" w14:paraId="50E7A701" w14:textId="77777777" w:rsidTr="13D05368">
        <w:trPr>
          <w:trHeight w:val="300"/>
        </w:trPr>
        <w:tc>
          <w:tcPr>
            <w:tcW w:w="6900" w:type="dxa"/>
            <w:tcBorders>
              <w:top w:val="nil"/>
              <w:left w:val="nil"/>
              <w:bottom w:val="nil"/>
              <w:right w:val="nil"/>
            </w:tcBorders>
            <w:tcMar>
              <w:left w:w="105" w:type="dxa"/>
              <w:right w:w="105" w:type="dxa"/>
            </w:tcMar>
            <w:vAlign w:val="bottom"/>
          </w:tcPr>
          <w:p w14:paraId="1ACAA920" w14:textId="03D8DA1C" w:rsidR="13D05368" w:rsidRDefault="13D05368" w:rsidP="13D05368">
            <w:pPr>
              <w:rPr>
                <w:rFonts w:eastAsia="Arial"/>
                <w:sz w:val="22"/>
              </w:rPr>
            </w:pPr>
            <w:r w:rsidRPr="13D05368">
              <w:rPr>
                <w:rFonts w:eastAsia="Arial"/>
                <w:sz w:val="22"/>
              </w:rPr>
              <w:t>Needed to See a Nutrition Provider due to FA?</w:t>
            </w:r>
          </w:p>
        </w:tc>
        <w:tc>
          <w:tcPr>
            <w:tcW w:w="2385" w:type="dxa"/>
            <w:tcBorders>
              <w:top w:val="nil"/>
              <w:left w:val="nil"/>
              <w:bottom w:val="nil"/>
              <w:right w:val="nil"/>
            </w:tcBorders>
            <w:tcMar>
              <w:left w:w="105" w:type="dxa"/>
              <w:right w:w="105" w:type="dxa"/>
            </w:tcMar>
            <w:vAlign w:val="bottom"/>
          </w:tcPr>
          <w:p w14:paraId="59950A24" w14:textId="7A9711AB" w:rsidR="13D05368" w:rsidRDefault="13D05368" w:rsidP="13D05368">
            <w:pPr>
              <w:rPr>
                <w:rFonts w:eastAsia="Arial"/>
                <w:sz w:val="22"/>
              </w:rPr>
            </w:pPr>
          </w:p>
        </w:tc>
      </w:tr>
      <w:tr w:rsidR="13D05368" w14:paraId="037443E0" w14:textId="77777777" w:rsidTr="13D05368">
        <w:trPr>
          <w:trHeight w:val="300"/>
        </w:trPr>
        <w:tc>
          <w:tcPr>
            <w:tcW w:w="6900" w:type="dxa"/>
            <w:tcBorders>
              <w:top w:val="nil"/>
              <w:left w:val="nil"/>
              <w:bottom w:val="nil"/>
              <w:right w:val="nil"/>
            </w:tcBorders>
            <w:tcMar>
              <w:left w:w="105" w:type="dxa"/>
              <w:right w:w="105" w:type="dxa"/>
            </w:tcMar>
            <w:vAlign w:val="bottom"/>
          </w:tcPr>
          <w:p w14:paraId="357836B5" w14:textId="5A1718A2" w:rsidR="13D05368" w:rsidRDefault="13D05368" w:rsidP="13D05368">
            <w:pPr>
              <w:rPr>
                <w:rFonts w:eastAsia="Arial"/>
                <w:sz w:val="22"/>
              </w:rPr>
            </w:pPr>
            <w:r w:rsidRPr="13D05368">
              <w:rPr>
                <w:rFonts w:eastAsia="Arial"/>
                <w:sz w:val="22"/>
              </w:rPr>
              <w:t xml:space="preserve">   No</w:t>
            </w:r>
          </w:p>
        </w:tc>
        <w:tc>
          <w:tcPr>
            <w:tcW w:w="2385" w:type="dxa"/>
            <w:tcBorders>
              <w:top w:val="nil"/>
              <w:left w:val="nil"/>
              <w:bottom w:val="nil"/>
              <w:right w:val="nil"/>
            </w:tcBorders>
            <w:tcMar>
              <w:left w:w="105" w:type="dxa"/>
              <w:right w:w="105" w:type="dxa"/>
            </w:tcMar>
            <w:vAlign w:val="bottom"/>
          </w:tcPr>
          <w:p w14:paraId="28EFBF5E" w14:textId="5960D3B6" w:rsidR="13D05368" w:rsidRDefault="13D05368" w:rsidP="13D05368">
            <w:pPr>
              <w:rPr>
                <w:rFonts w:eastAsia="Arial"/>
                <w:sz w:val="22"/>
              </w:rPr>
            </w:pPr>
            <w:r w:rsidRPr="13D05368">
              <w:rPr>
                <w:rFonts w:eastAsia="Arial"/>
                <w:sz w:val="22"/>
              </w:rPr>
              <w:t>362 (92.8%)</w:t>
            </w:r>
          </w:p>
        </w:tc>
      </w:tr>
      <w:tr w:rsidR="13D05368" w14:paraId="6B3EEB71" w14:textId="77777777" w:rsidTr="13D05368">
        <w:trPr>
          <w:trHeight w:val="300"/>
        </w:trPr>
        <w:tc>
          <w:tcPr>
            <w:tcW w:w="6900" w:type="dxa"/>
            <w:tcBorders>
              <w:top w:val="nil"/>
              <w:left w:val="nil"/>
              <w:bottom w:val="nil"/>
              <w:right w:val="nil"/>
            </w:tcBorders>
            <w:tcMar>
              <w:left w:w="105" w:type="dxa"/>
              <w:right w:w="105" w:type="dxa"/>
            </w:tcMar>
            <w:vAlign w:val="bottom"/>
          </w:tcPr>
          <w:p w14:paraId="5405B29F" w14:textId="22AF7F81" w:rsidR="13D05368" w:rsidRDefault="13D05368" w:rsidP="13D05368">
            <w:pPr>
              <w:rPr>
                <w:rFonts w:eastAsia="Arial"/>
                <w:sz w:val="22"/>
              </w:rPr>
            </w:pPr>
            <w:r w:rsidRPr="13D05368">
              <w:rPr>
                <w:rFonts w:eastAsia="Arial"/>
                <w:sz w:val="22"/>
              </w:rPr>
              <w:t xml:space="preserve">   Yes</w:t>
            </w:r>
          </w:p>
        </w:tc>
        <w:tc>
          <w:tcPr>
            <w:tcW w:w="2385" w:type="dxa"/>
            <w:tcBorders>
              <w:top w:val="nil"/>
              <w:left w:val="nil"/>
              <w:bottom w:val="nil"/>
              <w:right w:val="nil"/>
            </w:tcBorders>
            <w:tcMar>
              <w:left w:w="105" w:type="dxa"/>
              <w:right w:w="105" w:type="dxa"/>
            </w:tcMar>
            <w:vAlign w:val="bottom"/>
          </w:tcPr>
          <w:p w14:paraId="32BE5C30" w14:textId="559C930A" w:rsidR="13D05368" w:rsidRDefault="13D05368" w:rsidP="13D05368">
            <w:pPr>
              <w:rPr>
                <w:rFonts w:eastAsia="Arial"/>
                <w:sz w:val="22"/>
              </w:rPr>
            </w:pPr>
            <w:r w:rsidRPr="13D05368">
              <w:rPr>
                <w:rFonts w:eastAsia="Arial"/>
                <w:sz w:val="22"/>
              </w:rPr>
              <w:t>26 (6.7%)</w:t>
            </w:r>
          </w:p>
        </w:tc>
      </w:tr>
      <w:tr w:rsidR="13D05368" w14:paraId="389B7AA2" w14:textId="77777777" w:rsidTr="13D05368">
        <w:trPr>
          <w:trHeight w:val="300"/>
        </w:trPr>
        <w:tc>
          <w:tcPr>
            <w:tcW w:w="6900" w:type="dxa"/>
            <w:tcBorders>
              <w:top w:val="nil"/>
              <w:left w:val="nil"/>
              <w:bottom w:val="nil"/>
              <w:right w:val="nil"/>
            </w:tcBorders>
            <w:tcMar>
              <w:left w:w="105" w:type="dxa"/>
              <w:right w:w="105" w:type="dxa"/>
            </w:tcMar>
            <w:vAlign w:val="bottom"/>
          </w:tcPr>
          <w:p w14:paraId="2B7193CA" w14:textId="198634ED" w:rsidR="13D05368" w:rsidRDefault="13D05368" w:rsidP="13D05368">
            <w:pPr>
              <w:rPr>
                <w:rFonts w:eastAsia="Arial"/>
                <w:sz w:val="22"/>
              </w:rPr>
            </w:pPr>
            <w:r w:rsidRPr="13D05368">
              <w:rPr>
                <w:rFonts w:eastAsia="Arial"/>
                <w:sz w:val="22"/>
              </w:rPr>
              <w:t xml:space="preserve">   Missing</w:t>
            </w:r>
          </w:p>
        </w:tc>
        <w:tc>
          <w:tcPr>
            <w:tcW w:w="2385" w:type="dxa"/>
            <w:tcBorders>
              <w:top w:val="nil"/>
              <w:left w:val="nil"/>
              <w:bottom w:val="nil"/>
              <w:right w:val="nil"/>
            </w:tcBorders>
            <w:tcMar>
              <w:left w:w="105" w:type="dxa"/>
              <w:right w:w="105" w:type="dxa"/>
            </w:tcMar>
            <w:vAlign w:val="bottom"/>
          </w:tcPr>
          <w:p w14:paraId="6690B0B4" w14:textId="20C790D9" w:rsidR="13D05368" w:rsidRDefault="13D05368" w:rsidP="13D05368">
            <w:pPr>
              <w:rPr>
                <w:rFonts w:eastAsia="Arial"/>
                <w:sz w:val="22"/>
              </w:rPr>
            </w:pPr>
            <w:r w:rsidRPr="13D05368">
              <w:rPr>
                <w:rFonts w:eastAsia="Arial"/>
                <w:sz w:val="22"/>
              </w:rPr>
              <w:t>2 (0.5%)</w:t>
            </w:r>
          </w:p>
        </w:tc>
      </w:tr>
      <w:tr w:rsidR="13D05368" w14:paraId="5D8220BC" w14:textId="77777777" w:rsidTr="13D05368">
        <w:trPr>
          <w:trHeight w:val="300"/>
        </w:trPr>
        <w:tc>
          <w:tcPr>
            <w:tcW w:w="6900" w:type="dxa"/>
            <w:tcBorders>
              <w:top w:val="nil"/>
              <w:left w:val="nil"/>
              <w:bottom w:val="nil"/>
              <w:right w:val="nil"/>
            </w:tcBorders>
            <w:tcMar>
              <w:left w:w="105" w:type="dxa"/>
              <w:right w:w="105" w:type="dxa"/>
            </w:tcMar>
            <w:vAlign w:val="bottom"/>
          </w:tcPr>
          <w:p w14:paraId="7BF82905" w14:textId="5604E309" w:rsidR="13D05368" w:rsidRDefault="13D05368" w:rsidP="13D05368">
            <w:pPr>
              <w:rPr>
                <w:rFonts w:eastAsia="Arial"/>
                <w:sz w:val="22"/>
              </w:rPr>
            </w:pPr>
            <w:r w:rsidRPr="13D05368">
              <w:rPr>
                <w:rFonts w:eastAsia="Arial"/>
                <w:sz w:val="22"/>
              </w:rPr>
              <w:t>Missed Work Days</w:t>
            </w:r>
          </w:p>
        </w:tc>
        <w:tc>
          <w:tcPr>
            <w:tcW w:w="2385" w:type="dxa"/>
            <w:tcBorders>
              <w:top w:val="nil"/>
              <w:left w:val="nil"/>
              <w:bottom w:val="nil"/>
              <w:right w:val="nil"/>
            </w:tcBorders>
            <w:tcMar>
              <w:left w:w="105" w:type="dxa"/>
              <w:right w:w="105" w:type="dxa"/>
            </w:tcMar>
            <w:vAlign w:val="bottom"/>
          </w:tcPr>
          <w:p w14:paraId="3624C211" w14:textId="1D5090EE" w:rsidR="13D05368" w:rsidRDefault="13D05368" w:rsidP="13D05368">
            <w:pPr>
              <w:rPr>
                <w:rFonts w:eastAsia="Arial"/>
                <w:sz w:val="22"/>
              </w:rPr>
            </w:pPr>
            <w:r w:rsidRPr="13D05368">
              <w:rPr>
                <w:rFonts w:eastAsia="Arial"/>
                <w:sz w:val="22"/>
              </w:rPr>
              <w:t>0.9 (2.6)</w:t>
            </w:r>
          </w:p>
        </w:tc>
      </w:tr>
      <w:tr w:rsidR="13D05368" w14:paraId="641F3A4A" w14:textId="77777777" w:rsidTr="13D05368">
        <w:trPr>
          <w:trHeight w:val="300"/>
        </w:trPr>
        <w:tc>
          <w:tcPr>
            <w:tcW w:w="6900" w:type="dxa"/>
            <w:tcBorders>
              <w:top w:val="nil"/>
              <w:left w:val="nil"/>
              <w:bottom w:val="nil"/>
              <w:right w:val="nil"/>
            </w:tcBorders>
            <w:tcMar>
              <w:left w:w="105" w:type="dxa"/>
              <w:right w:w="105" w:type="dxa"/>
            </w:tcMar>
            <w:vAlign w:val="bottom"/>
          </w:tcPr>
          <w:p w14:paraId="6C1B6C63" w14:textId="63FF62E0" w:rsidR="13D05368" w:rsidRDefault="13D05368" w:rsidP="13D05368">
            <w:pPr>
              <w:rPr>
                <w:rFonts w:eastAsia="Arial"/>
                <w:sz w:val="22"/>
              </w:rPr>
            </w:pPr>
            <w:r w:rsidRPr="13D05368">
              <w:rPr>
                <w:rFonts w:eastAsia="Arial"/>
                <w:sz w:val="22"/>
              </w:rPr>
              <w:t>Any Lifestyle Changes</w:t>
            </w:r>
          </w:p>
        </w:tc>
        <w:tc>
          <w:tcPr>
            <w:tcW w:w="2385" w:type="dxa"/>
            <w:tcBorders>
              <w:top w:val="nil"/>
              <w:left w:val="nil"/>
              <w:bottom w:val="nil"/>
              <w:right w:val="nil"/>
            </w:tcBorders>
            <w:tcMar>
              <w:left w:w="105" w:type="dxa"/>
              <w:right w:w="105" w:type="dxa"/>
            </w:tcMar>
            <w:vAlign w:val="bottom"/>
          </w:tcPr>
          <w:p w14:paraId="16C89D96" w14:textId="01E76383" w:rsidR="13D05368" w:rsidRDefault="13D05368" w:rsidP="13D05368">
            <w:pPr>
              <w:rPr>
                <w:rFonts w:eastAsia="Arial"/>
                <w:sz w:val="22"/>
              </w:rPr>
            </w:pPr>
          </w:p>
        </w:tc>
      </w:tr>
      <w:tr w:rsidR="13D05368" w14:paraId="5CF1FDCB" w14:textId="77777777" w:rsidTr="13D05368">
        <w:trPr>
          <w:trHeight w:val="300"/>
        </w:trPr>
        <w:tc>
          <w:tcPr>
            <w:tcW w:w="6900" w:type="dxa"/>
            <w:tcBorders>
              <w:top w:val="nil"/>
              <w:left w:val="nil"/>
              <w:bottom w:val="nil"/>
              <w:right w:val="nil"/>
            </w:tcBorders>
            <w:tcMar>
              <w:left w:w="105" w:type="dxa"/>
              <w:right w:w="105" w:type="dxa"/>
            </w:tcMar>
            <w:vAlign w:val="bottom"/>
          </w:tcPr>
          <w:p w14:paraId="76707159" w14:textId="2D60EB23" w:rsidR="13D05368" w:rsidRDefault="13D05368" w:rsidP="13D05368">
            <w:pPr>
              <w:rPr>
                <w:rFonts w:eastAsia="Arial"/>
                <w:sz w:val="22"/>
              </w:rPr>
            </w:pPr>
            <w:r w:rsidRPr="13D05368">
              <w:rPr>
                <w:rFonts w:eastAsia="Arial"/>
                <w:sz w:val="22"/>
              </w:rPr>
              <w:t xml:space="preserve">   No</w:t>
            </w:r>
          </w:p>
        </w:tc>
        <w:tc>
          <w:tcPr>
            <w:tcW w:w="2385" w:type="dxa"/>
            <w:tcBorders>
              <w:top w:val="nil"/>
              <w:left w:val="nil"/>
              <w:bottom w:val="nil"/>
              <w:right w:val="nil"/>
            </w:tcBorders>
            <w:tcMar>
              <w:left w:w="105" w:type="dxa"/>
              <w:right w:w="105" w:type="dxa"/>
            </w:tcMar>
            <w:vAlign w:val="bottom"/>
          </w:tcPr>
          <w:p w14:paraId="14489211" w14:textId="35F6EB34" w:rsidR="13D05368" w:rsidRDefault="13D05368" w:rsidP="13D05368">
            <w:pPr>
              <w:rPr>
                <w:rFonts w:eastAsia="Arial"/>
                <w:sz w:val="22"/>
              </w:rPr>
            </w:pPr>
            <w:r w:rsidRPr="13D05368">
              <w:rPr>
                <w:rFonts w:eastAsia="Arial"/>
                <w:sz w:val="22"/>
              </w:rPr>
              <w:t>90 (23.1%)</w:t>
            </w:r>
          </w:p>
        </w:tc>
      </w:tr>
      <w:tr w:rsidR="13D05368" w14:paraId="645E73B9" w14:textId="77777777" w:rsidTr="13D05368">
        <w:trPr>
          <w:trHeight w:val="300"/>
        </w:trPr>
        <w:tc>
          <w:tcPr>
            <w:tcW w:w="6900" w:type="dxa"/>
            <w:tcBorders>
              <w:top w:val="nil"/>
              <w:left w:val="nil"/>
              <w:bottom w:val="nil"/>
              <w:right w:val="nil"/>
            </w:tcBorders>
            <w:tcMar>
              <w:left w:w="105" w:type="dxa"/>
              <w:right w:w="105" w:type="dxa"/>
            </w:tcMar>
            <w:vAlign w:val="bottom"/>
          </w:tcPr>
          <w:p w14:paraId="11A31251" w14:textId="126C11FB" w:rsidR="13D05368" w:rsidRDefault="13D05368" w:rsidP="13D05368">
            <w:pPr>
              <w:rPr>
                <w:rFonts w:eastAsia="Arial"/>
                <w:sz w:val="22"/>
              </w:rPr>
            </w:pPr>
            <w:r w:rsidRPr="13D05368">
              <w:rPr>
                <w:rFonts w:eastAsia="Arial"/>
                <w:sz w:val="22"/>
              </w:rPr>
              <w:t xml:space="preserve">   Yes</w:t>
            </w:r>
          </w:p>
        </w:tc>
        <w:tc>
          <w:tcPr>
            <w:tcW w:w="2385" w:type="dxa"/>
            <w:tcBorders>
              <w:top w:val="nil"/>
              <w:left w:val="nil"/>
              <w:bottom w:val="nil"/>
              <w:right w:val="nil"/>
            </w:tcBorders>
            <w:tcMar>
              <w:left w:w="105" w:type="dxa"/>
              <w:right w:w="105" w:type="dxa"/>
            </w:tcMar>
            <w:vAlign w:val="bottom"/>
          </w:tcPr>
          <w:p w14:paraId="75E4FA34" w14:textId="26BB3F03" w:rsidR="13D05368" w:rsidRDefault="13D05368" w:rsidP="13D05368">
            <w:pPr>
              <w:rPr>
                <w:rFonts w:eastAsia="Arial"/>
                <w:sz w:val="22"/>
              </w:rPr>
            </w:pPr>
            <w:r w:rsidRPr="13D05368">
              <w:rPr>
                <w:rFonts w:eastAsia="Arial"/>
                <w:sz w:val="22"/>
              </w:rPr>
              <w:t>300 (76.9%)</w:t>
            </w:r>
          </w:p>
        </w:tc>
      </w:tr>
      <w:tr w:rsidR="13D05368" w14:paraId="682D60A1" w14:textId="77777777" w:rsidTr="13D05368">
        <w:trPr>
          <w:trHeight w:val="300"/>
        </w:trPr>
        <w:tc>
          <w:tcPr>
            <w:tcW w:w="6900" w:type="dxa"/>
            <w:tcBorders>
              <w:top w:val="nil"/>
              <w:left w:val="nil"/>
              <w:bottom w:val="nil"/>
              <w:right w:val="nil"/>
            </w:tcBorders>
            <w:tcMar>
              <w:left w:w="105" w:type="dxa"/>
              <w:right w:w="105" w:type="dxa"/>
            </w:tcMar>
            <w:vAlign w:val="bottom"/>
          </w:tcPr>
          <w:p w14:paraId="163C181D" w14:textId="2F21DD41" w:rsidR="13D05368" w:rsidRDefault="13D05368" w:rsidP="13D05368">
            <w:pPr>
              <w:rPr>
                <w:rFonts w:eastAsia="Arial"/>
                <w:sz w:val="22"/>
              </w:rPr>
            </w:pPr>
            <w:r w:rsidRPr="13D05368">
              <w:rPr>
                <w:rFonts w:eastAsia="Arial"/>
                <w:sz w:val="22"/>
              </w:rPr>
              <w:t>Any Work Changes</w:t>
            </w:r>
          </w:p>
        </w:tc>
        <w:tc>
          <w:tcPr>
            <w:tcW w:w="2385" w:type="dxa"/>
            <w:tcBorders>
              <w:top w:val="nil"/>
              <w:left w:val="nil"/>
              <w:bottom w:val="nil"/>
              <w:right w:val="nil"/>
            </w:tcBorders>
            <w:tcMar>
              <w:left w:w="105" w:type="dxa"/>
              <w:right w:w="105" w:type="dxa"/>
            </w:tcMar>
            <w:vAlign w:val="bottom"/>
          </w:tcPr>
          <w:p w14:paraId="45FAD3E6" w14:textId="73B8AAD4" w:rsidR="13D05368" w:rsidRDefault="13D05368" w:rsidP="13D05368">
            <w:pPr>
              <w:rPr>
                <w:rFonts w:eastAsia="Arial"/>
                <w:sz w:val="22"/>
              </w:rPr>
            </w:pPr>
          </w:p>
        </w:tc>
      </w:tr>
      <w:tr w:rsidR="13D05368" w14:paraId="05F7CD13" w14:textId="77777777" w:rsidTr="13D05368">
        <w:trPr>
          <w:trHeight w:val="300"/>
        </w:trPr>
        <w:tc>
          <w:tcPr>
            <w:tcW w:w="6900" w:type="dxa"/>
            <w:tcBorders>
              <w:top w:val="nil"/>
              <w:left w:val="nil"/>
              <w:bottom w:val="nil"/>
              <w:right w:val="nil"/>
            </w:tcBorders>
            <w:tcMar>
              <w:left w:w="105" w:type="dxa"/>
              <w:right w:w="105" w:type="dxa"/>
            </w:tcMar>
            <w:vAlign w:val="bottom"/>
          </w:tcPr>
          <w:p w14:paraId="3A3EEEDC" w14:textId="1616C2A1" w:rsidR="13D05368" w:rsidRDefault="13D05368" w:rsidP="13D05368">
            <w:pPr>
              <w:rPr>
                <w:rFonts w:eastAsia="Arial"/>
                <w:sz w:val="22"/>
              </w:rPr>
            </w:pPr>
            <w:r w:rsidRPr="13D05368">
              <w:rPr>
                <w:rFonts w:eastAsia="Arial"/>
                <w:sz w:val="22"/>
              </w:rPr>
              <w:t xml:space="preserve">   No</w:t>
            </w:r>
          </w:p>
        </w:tc>
        <w:tc>
          <w:tcPr>
            <w:tcW w:w="2385" w:type="dxa"/>
            <w:tcBorders>
              <w:top w:val="nil"/>
              <w:left w:val="nil"/>
              <w:bottom w:val="nil"/>
              <w:right w:val="nil"/>
            </w:tcBorders>
            <w:tcMar>
              <w:left w:w="105" w:type="dxa"/>
              <w:right w:w="105" w:type="dxa"/>
            </w:tcMar>
            <w:vAlign w:val="bottom"/>
          </w:tcPr>
          <w:p w14:paraId="39E05077" w14:textId="58E3CBEE" w:rsidR="13D05368" w:rsidRDefault="13D05368" w:rsidP="13D05368">
            <w:pPr>
              <w:rPr>
                <w:rFonts w:eastAsia="Arial"/>
                <w:sz w:val="22"/>
              </w:rPr>
            </w:pPr>
            <w:r w:rsidRPr="13D05368">
              <w:rPr>
                <w:rFonts w:eastAsia="Arial"/>
                <w:sz w:val="22"/>
              </w:rPr>
              <w:t>308 (79.0%)</w:t>
            </w:r>
          </w:p>
        </w:tc>
      </w:tr>
      <w:tr w:rsidR="13D05368" w14:paraId="0E32BFC8" w14:textId="77777777" w:rsidTr="13D05368">
        <w:trPr>
          <w:trHeight w:val="300"/>
        </w:trPr>
        <w:tc>
          <w:tcPr>
            <w:tcW w:w="6900" w:type="dxa"/>
            <w:tcBorders>
              <w:top w:val="nil"/>
              <w:left w:val="nil"/>
              <w:bottom w:val="nil"/>
              <w:right w:val="nil"/>
            </w:tcBorders>
            <w:tcMar>
              <w:left w:w="105" w:type="dxa"/>
              <w:right w:w="105" w:type="dxa"/>
            </w:tcMar>
            <w:vAlign w:val="bottom"/>
          </w:tcPr>
          <w:p w14:paraId="5D89407A" w14:textId="058EEF99" w:rsidR="13D05368" w:rsidRDefault="13D05368" w:rsidP="13D05368">
            <w:pPr>
              <w:rPr>
                <w:rFonts w:eastAsia="Arial"/>
                <w:sz w:val="22"/>
              </w:rPr>
            </w:pPr>
            <w:r w:rsidRPr="13D05368">
              <w:rPr>
                <w:rFonts w:eastAsia="Arial"/>
                <w:sz w:val="22"/>
              </w:rPr>
              <w:t xml:space="preserve">   Yes</w:t>
            </w:r>
          </w:p>
        </w:tc>
        <w:tc>
          <w:tcPr>
            <w:tcW w:w="2385" w:type="dxa"/>
            <w:tcBorders>
              <w:top w:val="nil"/>
              <w:left w:val="nil"/>
              <w:bottom w:val="nil"/>
              <w:right w:val="nil"/>
            </w:tcBorders>
            <w:tcMar>
              <w:left w:w="105" w:type="dxa"/>
              <w:right w:w="105" w:type="dxa"/>
            </w:tcMar>
            <w:vAlign w:val="bottom"/>
          </w:tcPr>
          <w:p w14:paraId="716C9A0D" w14:textId="20CD67EE" w:rsidR="13D05368" w:rsidRDefault="13D05368" w:rsidP="13D05368">
            <w:pPr>
              <w:rPr>
                <w:rFonts w:eastAsia="Arial"/>
                <w:sz w:val="22"/>
              </w:rPr>
            </w:pPr>
            <w:r w:rsidRPr="13D05368">
              <w:rPr>
                <w:rFonts w:eastAsia="Arial"/>
                <w:sz w:val="22"/>
              </w:rPr>
              <w:t>82 (21.0%)</w:t>
            </w:r>
          </w:p>
        </w:tc>
      </w:tr>
      <w:tr w:rsidR="13D05368" w14:paraId="35EB42CB" w14:textId="77777777" w:rsidTr="13D05368">
        <w:trPr>
          <w:trHeight w:val="300"/>
        </w:trPr>
        <w:tc>
          <w:tcPr>
            <w:tcW w:w="6900" w:type="dxa"/>
            <w:tcBorders>
              <w:top w:val="nil"/>
              <w:left w:val="nil"/>
              <w:bottom w:val="nil"/>
              <w:right w:val="nil"/>
            </w:tcBorders>
            <w:tcMar>
              <w:left w:w="105" w:type="dxa"/>
              <w:right w:w="105" w:type="dxa"/>
            </w:tcMar>
            <w:vAlign w:val="bottom"/>
          </w:tcPr>
          <w:p w14:paraId="762B7A9D" w14:textId="30AB7F05" w:rsidR="13D05368" w:rsidRDefault="13D05368" w:rsidP="13D05368">
            <w:pPr>
              <w:rPr>
                <w:rFonts w:eastAsia="Arial"/>
                <w:sz w:val="22"/>
              </w:rPr>
            </w:pPr>
            <w:r w:rsidRPr="13D05368">
              <w:rPr>
                <w:rFonts w:eastAsia="Arial"/>
                <w:sz w:val="22"/>
              </w:rPr>
              <w:t>Worried About Running out of Food in Last 12 Months</w:t>
            </w:r>
          </w:p>
        </w:tc>
        <w:tc>
          <w:tcPr>
            <w:tcW w:w="2385" w:type="dxa"/>
            <w:tcBorders>
              <w:top w:val="nil"/>
              <w:left w:val="nil"/>
              <w:bottom w:val="nil"/>
              <w:right w:val="nil"/>
            </w:tcBorders>
            <w:tcMar>
              <w:left w:w="105" w:type="dxa"/>
              <w:right w:w="105" w:type="dxa"/>
            </w:tcMar>
            <w:vAlign w:val="bottom"/>
          </w:tcPr>
          <w:p w14:paraId="68476AC0" w14:textId="25F33743" w:rsidR="13D05368" w:rsidRDefault="13D05368" w:rsidP="13D05368">
            <w:pPr>
              <w:rPr>
                <w:rFonts w:eastAsia="Arial"/>
                <w:sz w:val="22"/>
              </w:rPr>
            </w:pPr>
          </w:p>
        </w:tc>
      </w:tr>
      <w:tr w:rsidR="13D05368" w14:paraId="1BCB8EDF" w14:textId="77777777" w:rsidTr="13D05368">
        <w:trPr>
          <w:trHeight w:val="300"/>
        </w:trPr>
        <w:tc>
          <w:tcPr>
            <w:tcW w:w="6900" w:type="dxa"/>
            <w:tcBorders>
              <w:top w:val="nil"/>
              <w:left w:val="nil"/>
              <w:bottom w:val="nil"/>
              <w:right w:val="nil"/>
            </w:tcBorders>
            <w:tcMar>
              <w:left w:w="105" w:type="dxa"/>
              <w:right w:w="105" w:type="dxa"/>
            </w:tcMar>
            <w:vAlign w:val="bottom"/>
          </w:tcPr>
          <w:p w14:paraId="32183346" w14:textId="16A1A6AF" w:rsidR="13D05368" w:rsidRDefault="13D05368" w:rsidP="13D05368">
            <w:pPr>
              <w:rPr>
                <w:rFonts w:eastAsia="Arial"/>
                <w:sz w:val="22"/>
              </w:rPr>
            </w:pPr>
            <w:r w:rsidRPr="13D05368">
              <w:rPr>
                <w:rFonts w:eastAsia="Arial"/>
                <w:sz w:val="22"/>
              </w:rPr>
              <w:t xml:space="preserve">   No</w:t>
            </w:r>
          </w:p>
        </w:tc>
        <w:tc>
          <w:tcPr>
            <w:tcW w:w="2385" w:type="dxa"/>
            <w:tcBorders>
              <w:top w:val="nil"/>
              <w:left w:val="nil"/>
              <w:bottom w:val="nil"/>
              <w:right w:val="nil"/>
            </w:tcBorders>
            <w:tcMar>
              <w:left w:w="105" w:type="dxa"/>
              <w:right w:w="105" w:type="dxa"/>
            </w:tcMar>
            <w:vAlign w:val="bottom"/>
          </w:tcPr>
          <w:p w14:paraId="13AB5160" w14:textId="497DBFE4" w:rsidR="13D05368" w:rsidRDefault="13D05368" w:rsidP="13D05368">
            <w:pPr>
              <w:rPr>
                <w:rFonts w:eastAsia="Arial"/>
                <w:sz w:val="22"/>
              </w:rPr>
            </w:pPr>
            <w:r w:rsidRPr="13D05368">
              <w:rPr>
                <w:rFonts w:eastAsia="Arial"/>
                <w:sz w:val="22"/>
              </w:rPr>
              <w:t>330 (84.6%)</w:t>
            </w:r>
          </w:p>
        </w:tc>
      </w:tr>
      <w:tr w:rsidR="13D05368" w14:paraId="253D3C16" w14:textId="77777777" w:rsidTr="13D05368">
        <w:trPr>
          <w:trHeight w:val="300"/>
        </w:trPr>
        <w:tc>
          <w:tcPr>
            <w:tcW w:w="6900" w:type="dxa"/>
            <w:tcBorders>
              <w:top w:val="nil"/>
              <w:left w:val="nil"/>
              <w:bottom w:val="nil"/>
              <w:right w:val="nil"/>
            </w:tcBorders>
            <w:tcMar>
              <w:left w:w="105" w:type="dxa"/>
              <w:right w:w="105" w:type="dxa"/>
            </w:tcMar>
            <w:vAlign w:val="bottom"/>
          </w:tcPr>
          <w:p w14:paraId="4E7392E5" w14:textId="51E099B0" w:rsidR="13D05368" w:rsidRDefault="13D05368" w:rsidP="13D05368">
            <w:pPr>
              <w:rPr>
                <w:rFonts w:eastAsia="Arial"/>
                <w:sz w:val="22"/>
              </w:rPr>
            </w:pPr>
            <w:r w:rsidRPr="13D05368">
              <w:rPr>
                <w:rFonts w:eastAsia="Arial"/>
                <w:sz w:val="22"/>
              </w:rPr>
              <w:t xml:space="preserve">   Yes</w:t>
            </w:r>
          </w:p>
        </w:tc>
        <w:tc>
          <w:tcPr>
            <w:tcW w:w="2385" w:type="dxa"/>
            <w:tcBorders>
              <w:top w:val="nil"/>
              <w:left w:val="nil"/>
              <w:bottom w:val="nil"/>
              <w:right w:val="nil"/>
            </w:tcBorders>
            <w:tcMar>
              <w:left w:w="105" w:type="dxa"/>
              <w:right w:w="105" w:type="dxa"/>
            </w:tcMar>
            <w:vAlign w:val="bottom"/>
          </w:tcPr>
          <w:p w14:paraId="12CE1118" w14:textId="59C29B38" w:rsidR="13D05368" w:rsidRDefault="13D05368" w:rsidP="13D05368">
            <w:pPr>
              <w:rPr>
                <w:rFonts w:eastAsia="Arial"/>
                <w:sz w:val="22"/>
              </w:rPr>
            </w:pPr>
            <w:r w:rsidRPr="13D05368">
              <w:rPr>
                <w:rFonts w:eastAsia="Arial"/>
                <w:sz w:val="22"/>
              </w:rPr>
              <w:t>53 (13.6%)</w:t>
            </w:r>
          </w:p>
        </w:tc>
      </w:tr>
      <w:tr w:rsidR="13D05368" w14:paraId="1D83F147" w14:textId="77777777" w:rsidTr="13D05368">
        <w:trPr>
          <w:trHeight w:val="300"/>
        </w:trPr>
        <w:tc>
          <w:tcPr>
            <w:tcW w:w="6900" w:type="dxa"/>
            <w:tcBorders>
              <w:top w:val="nil"/>
              <w:left w:val="nil"/>
              <w:bottom w:val="nil"/>
              <w:right w:val="nil"/>
            </w:tcBorders>
            <w:tcMar>
              <w:left w:w="105" w:type="dxa"/>
              <w:right w:w="105" w:type="dxa"/>
            </w:tcMar>
            <w:vAlign w:val="bottom"/>
          </w:tcPr>
          <w:p w14:paraId="37069B8B" w14:textId="2DE41BE3" w:rsidR="13D05368" w:rsidRDefault="13D05368" w:rsidP="13D05368">
            <w:pPr>
              <w:rPr>
                <w:rFonts w:eastAsia="Arial"/>
                <w:sz w:val="22"/>
              </w:rPr>
            </w:pPr>
            <w:r w:rsidRPr="13D05368">
              <w:rPr>
                <w:rFonts w:eastAsia="Arial"/>
                <w:sz w:val="22"/>
              </w:rPr>
              <w:t xml:space="preserve">   Missing</w:t>
            </w:r>
          </w:p>
        </w:tc>
        <w:tc>
          <w:tcPr>
            <w:tcW w:w="2385" w:type="dxa"/>
            <w:tcBorders>
              <w:top w:val="nil"/>
              <w:left w:val="nil"/>
              <w:bottom w:val="nil"/>
              <w:right w:val="nil"/>
            </w:tcBorders>
            <w:tcMar>
              <w:left w:w="105" w:type="dxa"/>
              <w:right w:w="105" w:type="dxa"/>
            </w:tcMar>
            <w:vAlign w:val="bottom"/>
          </w:tcPr>
          <w:p w14:paraId="3530AD77" w14:textId="3ADD15B4" w:rsidR="13D05368" w:rsidRDefault="13D05368" w:rsidP="13D05368">
            <w:pPr>
              <w:rPr>
                <w:rFonts w:eastAsia="Arial"/>
                <w:sz w:val="22"/>
              </w:rPr>
            </w:pPr>
            <w:r w:rsidRPr="13D05368">
              <w:rPr>
                <w:rFonts w:eastAsia="Arial"/>
                <w:sz w:val="22"/>
              </w:rPr>
              <w:t>7 (1.8%)</w:t>
            </w:r>
          </w:p>
        </w:tc>
      </w:tr>
      <w:tr w:rsidR="13D05368" w14:paraId="47DAF6FF" w14:textId="77777777" w:rsidTr="13D05368">
        <w:trPr>
          <w:trHeight w:val="300"/>
        </w:trPr>
        <w:tc>
          <w:tcPr>
            <w:tcW w:w="6900" w:type="dxa"/>
            <w:tcBorders>
              <w:top w:val="nil"/>
              <w:left w:val="nil"/>
              <w:bottom w:val="nil"/>
              <w:right w:val="nil"/>
            </w:tcBorders>
            <w:tcMar>
              <w:left w:w="105" w:type="dxa"/>
              <w:right w:w="105" w:type="dxa"/>
            </w:tcMar>
            <w:vAlign w:val="bottom"/>
          </w:tcPr>
          <w:p w14:paraId="5910A0AB" w14:textId="4BA2B388" w:rsidR="13D05368" w:rsidRDefault="13D05368" w:rsidP="13D05368">
            <w:pPr>
              <w:rPr>
                <w:rFonts w:eastAsia="Arial"/>
                <w:sz w:val="22"/>
              </w:rPr>
            </w:pPr>
            <w:r w:rsidRPr="13D05368">
              <w:rPr>
                <w:rFonts w:eastAsia="Arial"/>
                <w:sz w:val="22"/>
              </w:rPr>
              <w:t>Purchased Food Did not Last</w:t>
            </w:r>
          </w:p>
        </w:tc>
        <w:tc>
          <w:tcPr>
            <w:tcW w:w="2385" w:type="dxa"/>
            <w:tcBorders>
              <w:top w:val="nil"/>
              <w:left w:val="nil"/>
              <w:bottom w:val="nil"/>
              <w:right w:val="nil"/>
            </w:tcBorders>
            <w:tcMar>
              <w:left w:w="105" w:type="dxa"/>
              <w:right w:w="105" w:type="dxa"/>
            </w:tcMar>
            <w:vAlign w:val="bottom"/>
          </w:tcPr>
          <w:p w14:paraId="32F06A7E" w14:textId="054402A8" w:rsidR="13D05368" w:rsidRDefault="13D05368" w:rsidP="13D05368">
            <w:pPr>
              <w:rPr>
                <w:rFonts w:eastAsia="Arial"/>
                <w:sz w:val="22"/>
              </w:rPr>
            </w:pPr>
          </w:p>
        </w:tc>
      </w:tr>
      <w:tr w:rsidR="13D05368" w14:paraId="5AC38E01" w14:textId="77777777" w:rsidTr="13D05368">
        <w:trPr>
          <w:trHeight w:val="300"/>
        </w:trPr>
        <w:tc>
          <w:tcPr>
            <w:tcW w:w="6900" w:type="dxa"/>
            <w:tcBorders>
              <w:top w:val="nil"/>
              <w:left w:val="nil"/>
              <w:bottom w:val="nil"/>
              <w:right w:val="nil"/>
            </w:tcBorders>
            <w:tcMar>
              <w:left w:w="105" w:type="dxa"/>
              <w:right w:w="105" w:type="dxa"/>
            </w:tcMar>
            <w:vAlign w:val="bottom"/>
          </w:tcPr>
          <w:p w14:paraId="13EF5746" w14:textId="3EF7F401" w:rsidR="13D05368" w:rsidRDefault="13D05368" w:rsidP="13D05368">
            <w:pPr>
              <w:rPr>
                <w:rFonts w:eastAsia="Arial"/>
                <w:sz w:val="22"/>
              </w:rPr>
            </w:pPr>
            <w:r w:rsidRPr="13D05368">
              <w:rPr>
                <w:rFonts w:eastAsia="Arial"/>
                <w:sz w:val="22"/>
              </w:rPr>
              <w:lastRenderedPageBreak/>
              <w:t xml:space="preserve">   No</w:t>
            </w:r>
          </w:p>
        </w:tc>
        <w:tc>
          <w:tcPr>
            <w:tcW w:w="2385" w:type="dxa"/>
            <w:tcBorders>
              <w:top w:val="nil"/>
              <w:left w:val="nil"/>
              <w:bottom w:val="nil"/>
              <w:right w:val="nil"/>
            </w:tcBorders>
            <w:tcMar>
              <w:left w:w="105" w:type="dxa"/>
              <w:right w:w="105" w:type="dxa"/>
            </w:tcMar>
            <w:vAlign w:val="bottom"/>
          </w:tcPr>
          <w:p w14:paraId="1090462B" w14:textId="493D1C69" w:rsidR="13D05368" w:rsidRDefault="13D05368" w:rsidP="13D05368">
            <w:pPr>
              <w:rPr>
                <w:rFonts w:eastAsia="Arial"/>
                <w:sz w:val="22"/>
              </w:rPr>
            </w:pPr>
            <w:r w:rsidRPr="13D05368">
              <w:rPr>
                <w:rFonts w:eastAsia="Arial"/>
                <w:sz w:val="22"/>
              </w:rPr>
              <w:t>336 (86.2%)</w:t>
            </w:r>
          </w:p>
        </w:tc>
      </w:tr>
      <w:tr w:rsidR="13D05368" w14:paraId="48193DAA" w14:textId="77777777" w:rsidTr="13D05368">
        <w:trPr>
          <w:trHeight w:val="300"/>
        </w:trPr>
        <w:tc>
          <w:tcPr>
            <w:tcW w:w="6900" w:type="dxa"/>
            <w:tcBorders>
              <w:top w:val="nil"/>
              <w:left w:val="nil"/>
              <w:bottom w:val="nil"/>
              <w:right w:val="nil"/>
            </w:tcBorders>
            <w:tcMar>
              <w:left w:w="105" w:type="dxa"/>
              <w:right w:w="105" w:type="dxa"/>
            </w:tcMar>
            <w:vAlign w:val="bottom"/>
          </w:tcPr>
          <w:p w14:paraId="29EB5E4B" w14:textId="6852F1F8" w:rsidR="13D05368" w:rsidRDefault="13D05368" w:rsidP="13D05368">
            <w:pPr>
              <w:rPr>
                <w:rFonts w:eastAsia="Arial"/>
                <w:sz w:val="22"/>
              </w:rPr>
            </w:pPr>
            <w:r w:rsidRPr="13D05368">
              <w:rPr>
                <w:rFonts w:eastAsia="Arial"/>
                <w:sz w:val="22"/>
              </w:rPr>
              <w:t xml:space="preserve">   Yes</w:t>
            </w:r>
          </w:p>
        </w:tc>
        <w:tc>
          <w:tcPr>
            <w:tcW w:w="2385" w:type="dxa"/>
            <w:tcBorders>
              <w:top w:val="nil"/>
              <w:left w:val="nil"/>
              <w:bottom w:val="nil"/>
              <w:right w:val="nil"/>
            </w:tcBorders>
            <w:tcMar>
              <w:left w:w="105" w:type="dxa"/>
              <w:right w:w="105" w:type="dxa"/>
            </w:tcMar>
            <w:vAlign w:val="bottom"/>
          </w:tcPr>
          <w:p w14:paraId="28232A6B" w14:textId="0DA8D199" w:rsidR="13D05368" w:rsidRDefault="13D05368" w:rsidP="13D05368">
            <w:pPr>
              <w:rPr>
                <w:rFonts w:eastAsia="Arial"/>
                <w:sz w:val="22"/>
              </w:rPr>
            </w:pPr>
            <w:r w:rsidRPr="13D05368">
              <w:rPr>
                <w:rFonts w:eastAsia="Arial"/>
                <w:sz w:val="22"/>
              </w:rPr>
              <w:t>47 (12.1%)</w:t>
            </w:r>
          </w:p>
        </w:tc>
      </w:tr>
      <w:tr w:rsidR="13D05368" w14:paraId="0A53A731" w14:textId="77777777" w:rsidTr="13D05368">
        <w:trPr>
          <w:trHeight w:val="300"/>
        </w:trPr>
        <w:tc>
          <w:tcPr>
            <w:tcW w:w="6900" w:type="dxa"/>
            <w:tcBorders>
              <w:top w:val="nil"/>
              <w:left w:val="nil"/>
              <w:bottom w:val="nil"/>
              <w:right w:val="nil"/>
            </w:tcBorders>
            <w:tcMar>
              <w:left w:w="105" w:type="dxa"/>
              <w:right w:w="105" w:type="dxa"/>
            </w:tcMar>
            <w:vAlign w:val="bottom"/>
          </w:tcPr>
          <w:p w14:paraId="046D826F" w14:textId="7EB4D5D2" w:rsidR="13D05368" w:rsidRDefault="13D05368" w:rsidP="13D05368">
            <w:pPr>
              <w:rPr>
                <w:rFonts w:eastAsia="Arial"/>
                <w:sz w:val="22"/>
              </w:rPr>
            </w:pPr>
            <w:r w:rsidRPr="13D05368">
              <w:rPr>
                <w:rFonts w:eastAsia="Arial"/>
                <w:sz w:val="22"/>
              </w:rPr>
              <w:t xml:space="preserve">   Missing</w:t>
            </w:r>
          </w:p>
        </w:tc>
        <w:tc>
          <w:tcPr>
            <w:tcW w:w="2385" w:type="dxa"/>
            <w:tcBorders>
              <w:top w:val="nil"/>
              <w:left w:val="nil"/>
              <w:bottom w:val="nil"/>
              <w:right w:val="nil"/>
            </w:tcBorders>
            <w:tcMar>
              <w:left w:w="105" w:type="dxa"/>
              <w:right w:w="105" w:type="dxa"/>
            </w:tcMar>
            <w:vAlign w:val="bottom"/>
          </w:tcPr>
          <w:p w14:paraId="1D6C4DB1" w14:textId="5A841993" w:rsidR="13D05368" w:rsidRDefault="13D05368" w:rsidP="13D05368">
            <w:pPr>
              <w:rPr>
                <w:rFonts w:eastAsia="Arial"/>
                <w:sz w:val="22"/>
              </w:rPr>
            </w:pPr>
            <w:r w:rsidRPr="13D05368">
              <w:rPr>
                <w:rFonts w:eastAsia="Arial"/>
                <w:sz w:val="22"/>
              </w:rPr>
              <w:t>7 (1.8%)</w:t>
            </w:r>
          </w:p>
        </w:tc>
      </w:tr>
    </w:tbl>
    <w:p w14:paraId="1671101F" w14:textId="3159C1A3" w:rsidR="004A351F" w:rsidRDefault="004A351F" w:rsidP="13D05368">
      <w:pPr>
        <w:rPr>
          <w:rFonts w:eastAsia="Arial"/>
          <w:color w:val="000000" w:themeColor="text1"/>
          <w:sz w:val="22"/>
        </w:rPr>
      </w:pPr>
    </w:p>
    <w:p w14:paraId="1C0E73EA" w14:textId="6762C282" w:rsidR="004A351F" w:rsidRDefault="004A351F" w:rsidP="13D05368">
      <w:pPr>
        <w:spacing w:line="240" w:lineRule="auto"/>
        <w:rPr>
          <w:rFonts w:eastAsia="Arial"/>
          <w:color w:val="000000" w:themeColor="text1"/>
          <w:sz w:val="22"/>
        </w:rPr>
      </w:pPr>
    </w:p>
    <w:p w14:paraId="0B4D0F39" w14:textId="7EB69809" w:rsidR="004A351F" w:rsidRDefault="004A351F" w:rsidP="13D05368">
      <w:pPr>
        <w:spacing w:line="240" w:lineRule="auto"/>
        <w:rPr>
          <w:rFonts w:eastAsia="Arial"/>
          <w:color w:val="000000" w:themeColor="text1"/>
          <w:sz w:val="22"/>
        </w:rPr>
      </w:pPr>
    </w:p>
    <w:p w14:paraId="2894AB5F" w14:textId="6461BDA8" w:rsidR="004A351F" w:rsidRDefault="004A351F" w:rsidP="13D05368">
      <w:pPr>
        <w:spacing w:line="240" w:lineRule="auto"/>
        <w:rPr>
          <w:rFonts w:eastAsia="Arial"/>
          <w:color w:val="000000" w:themeColor="text1"/>
          <w:sz w:val="22"/>
        </w:rPr>
      </w:pPr>
    </w:p>
    <w:p w14:paraId="4F2D4FE8" w14:textId="7EB71AA8" w:rsidR="004A351F" w:rsidRDefault="004A351F" w:rsidP="13D05368">
      <w:pPr>
        <w:spacing w:line="240" w:lineRule="auto"/>
        <w:rPr>
          <w:rFonts w:eastAsia="Arial"/>
          <w:color w:val="000000" w:themeColor="text1"/>
          <w:sz w:val="22"/>
        </w:rPr>
      </w:pPr>
    </w:p>
    <w:p w14:paraId="2317B0ED" w14:textId="133F14D7" w:rsidR="004A351F" w:rsidRDefault="004A351F" w:rsidP="13D05368">
      <w:pPr>
        <w:spacing w:line="240" w:lineRule="auto"/>
        <w:rPr>
          <w:rFonts w:eastAsia="Arial"/>
          <w:color w:val="000000" w:themeColor="text1"/>
          <w:sz w:val="22"/>
        </w:rPr>
      </w:pPr>
    </w:p>
    <w:p w14:paraId="4ECB812D" w14:textId="4A39BCAD" w:rsidR="004A351F" w:rsidRDefault="004A351F" w:rsidP="13D05368">
      <w:pPr>
        <w:spacing w:line="240" w:lineRule="auto"/>
        <w:rPr>
          <w:rFonts w:eastAsia="Arial"/>
          <w:color w:val="000000" w:themeColor="text1"/>
          <w:sz w:val="22"/>
        </w:rPr>
      </w:pPr>
    </w:p>
    <w:p w14:paraId="6A087692" w14:textId="29525254" w:rsidR="004A351F" w:rsidRDefault="004A351F" w:rsidP="13D05368">
      <w:pPr>
        <w:spacing w:line="240" w:lineRule="auto"/>
        <w:rPr>
          <w:rFonts w:eastAsia="Arial"/>
          <w:color w:val="000000" w:themeColor="text1"/>
          <w:sz w:val="22"/>
        </w:rPr>
      </w:pPr>
    </w:p>
    <w:p w14:paraId="0A9627A1" w14:textId="673665DC" w:rsidR="004A351F" w:rsidRDefault="004A351F" w:rsidP="13D05368">
      <w:pPr>
        <w:spacing w:line="240" w:lineRule="auto"/>
        <w:rPr>
          <w:rFonts w:eastAsia="Arial"/>
          <w:color w:val="000000" w:themeColor="text1"/>
          <w:sz w:val="22"/>
        </w:rPr>
      </w:pPr>
    </w:p>
    <w:p w14:paraId="675EDC65" w14:textId="55813375" w:rsidR="004A351F" w:rsidRDefault="004A351F" w:rsidP="13D05368">
      <w:pPr>
        <w:spacing w:line="240" w:lineRule="auto"/>
        <w:rPr>
          <w:rFonts w:eastAsia="Arial"/>
          <w:color w:val="000000" w:themeColor="text1"/>
          <w:sz w:val="22"/>
        </w:rPr>
      </w:pPr>
    </w:p>
    <w:p w14:paraId="71C2DC9A" w14:textId="57A63004" w:rsidR="004A351F" w:rsidRDefault="004A351F" w:rsidP="13D05368">
      <w:pPr>
        <w:spacing w:line="240" w:lineRule="auto"/>
        <w:rPr>
          <w:rFonts w:eastAsia="Arial"/>
          <w:color w:val="000000" w:themeColor="text1"/>
          <w:sz w:val="22"/>
        </w:rPr>
      </w:pPr>
    </w:p>
    <w:p w14:paraId="498D2C46" w14:textId="110C4A2B" w:rsidR="004A351F" w:rsidRDefault="004A351F" w:rsidP="13D05368">
      <w:pPr>
        <w:spacing w:line="240" w:lineRule="auto"/>
        <w:rPr>
          <w:rFonts w:eastAsia="Arial"/>
          <w:color w:val="000000" w:themeColor="text1"/>
          <w:sz w:val="22"/>
        </w:rPr>
      </w:pPr>
    </w:p>
    <w:p w14:paraId="7708571F" w14:textId="492A999D" w:rsidR="004A351F" w:rsidRDefault="004A351F" w:rsidP="13D05368">
      <w:pPr>
        <w:spacing w:line="240" w:lineRule="auto"/>
        <w:rPr>
          <w:rFonts w:eastAsia="Arial"/>
          <w:color w:val="000000" w:themeColor="text1"/>
          <w:sz w:val="22"/>
        </w:rPr>
      </w:pPr>
    </w:p>
    <w:p w14:paraId="2080D0CA" w14:textId="59C7F0CB" w:rsidR="004A351F" w:rsidRDefault="004A351F" w:rsidP="13D05368">
      <w:pPr>
        <w:spacing w:line="240" w:lineRule="auto"/>
        <w:rPr>
          <w:rFonts w:eastAsia="Arial"/>
          <w:color w:val="000000" w:themeColor="text1"/>
          <w:sz w:val="22"/>
        </w:rPr>
      </w:pPr>
    </w:p>
    <w:p w14:paraId="3B87E96C" w14:textId="22BE264A" w:rsidR="004A351F" w:rsidRDefault="004A351F" w:rsidP="13D05368">
      <w:pPr>
        <w:spacing w:line="240" w:lineRule="auto"/>
        <w:rPr>
          <w:rFonts w:eastAsia="Arial"/>
          <w:color w:val="000000" w:themeColor="text1"/>
          <w:sz w:val="22"/>
        </w:rPr>
      </w:pPr>
    </w:p>
    <w:p w14:paraId="11F1A4FC" w14:textId="7CDB5E42" w:rsidR="004A351F" w:rsidRDefault="004A351F" w:rsidP="13D05368">
      <w:pPr>
        <w:spacing w:line="240" w:lineRule="auto"/>
        <w:rPr>
          <w:rFonts w:eastAsia="Arial"/>
          <w:color w:val="000000" w:themeColor="text1"/>
          <w:sz w:val="22"/>
        </w:rPr>
      </w:pPr>
    </w:p>
    <w:p w14:paraId="742D3E03" w14:textId="643E2D91" w:rsidR="004A351F" w:rsidRDefault="004A351F" w:rsidP="13D05368">
      <w:pPr>
        <w:spacing w:line="240" w:lineRule="auto"/>
        <w:rPr>
          <w:rFonts w:eastAsia="Arial"/>
          <w:color w:val="000000" w:themeColor="text1"/>
          <w:sz w:val="22"/>
        </w:rPr>
      </w:pPr>
    </w:p>
    <w:p w14:paraId="46DAE003" w14:textId="536A099E" w:rsidR="004A351F" w:rsidRDefault="004A351F" w:rsidP="13D05368">
      <w:pPr>
        <w:spacing w:line="240" w:lineRule="auto"/>
        <w:rPr>
          <w:rFonts w:eastAsia="Arial"/>
          <w:color w:val="000000" w:themeColor="text1"/>
          <w:sz w:val="22"/>
        </w:rPr>
      </w:pPr>
    </w:p>
    <w:p w14:paraId="240E1130" w14:textId="0F480D85" w:rsidR="004A351F" w:rsidRDefault="004A351F" w:rsidP="13D05368">
      <w:pPr>
        <w:spacing w:line="240" w:lineRule="auto"/>
        <w:rPr>
          <w:rFonts w:eastAsia="Arial"/>
          <w:color w:val="000000" w:themeColor="text1"/>
          <w:sz w:val="22"/>
        </w:rPr>
      </w:pPr>
    </w:p>
    <w:p w14:paraId="51FAC90F" w14:textId="7FB67D14" w:rsidR="004A351F" w:rsidRDefault="004A351F" w:rsidP="13D05368">
      <w:pPr>
        <w:spacing w:line="240" w:lineRule="auto"/>
        <w:rPr>
          <w:rFonts w:eastAsia="Arial"/>
          <w:color w:val="000000" w:themeColor="text1"/>
          <w:sz w:val="22"/>
        </w:rPr>
      </w:pPr>
    </w:p>
    <w:p w14:paraId="5E99E335" w14:textId="0CE6EC75" w:rsidR="004A351F" w:rsidRDefault="004A351F" w:rsidP="13D05368">
      <w:pPr>
        <w:spacing w:line="240" w:lineRule="auto"/>
        <w:rPr>
          <w:rFonts w:eastAsia="Arial"/>
          <w:color w:val="000000" w:themeColor="text1"/>
          <w:sz w:val="22"/>
        </w:rPr>
      </w:pPr>
    </w:p>
    <w:p w14:paraId="191E034A" w14:textId="5DB558FB" w:rsidR="004A351F" w:rsidRDefault="004A351F" w:rsidP="13D05368">
      <w:pPr>
        <w:spacing w:line="240" w:lineRule="auto"/>
        <w:rPr>
          <w:rFonts w:eastAsia="Arial"/>
          <w:color w:val="000000" w:themeColor="text1"/>
          <w:sz w:val="22"/>
        </w:rPr>
      </w:pPr>
    </w:p>
    <w:p w14:paraId="2BC99652" w14:textId="1B53E9D3" w:rsidR="004A351F" w:rsidRDefault="004A351F" w:rsidP="13D05368">
      <w:pPr>
        <w:spacing w:line="240" w:lineRule="auto"/>
        <w:rPr>
          <w:rFonts w:eastAsia="Arial"/>
          <w:color w:val="000000" w:themeColor="text1"/>
          <w:sz w:val="22"/>
        </w:rPr>
      </w:pPr>
    </w:p>
    <w:p w14:paraId="3E020B8E" w14:textId="326C33C2" w:rsidR="004A351F" w:rsidRDefault="004A351F" w:rsidP="13D05368">
      <w:pPr>
        <w:spacing w:line="240" w:lineRule="auto"/>
        <w:rPr>
          <w:rFonts w:eastAsia="Arial"/>
          <w:color w:val="000000" w:themeColor="text1"/>
          <w:sz w:val="22"/>
        </w:rPr>
      </w:pPr>
    </w:p>
    <w:p w14:paraId="3136EC4A" w14:textId="7925DD29" w:rsidR="004A351F" w:rsidRDefault="004A351F" w:rsidP="13D05368">
      <w:pPr>
        <w:spacing w:line="240" w:lineRule="auto"/>
        <w:rPr>
          <w:rFonts w:eastAsia="Arial"/>
          <w:color w:val="000000" w:themeColor="text1"/>
          <w:sz w:val="22"/>
        </w:rPr>
      </w:pPr>
    </w:p>
    <w:p w14:paraId="0B5C3891" w14:textId="791DCD73" w:rsidR="004A351F" w:rsidRDefault="004A351F" w:rsidP="13D05368">
      <w:pPr>
        <w:spacing w:line="240" w:lineRule="auto"/>
        <w:rPr>
          <w:rFonts w:eastAsia="Arial"/>
          <w:color w:val="000000" w:themeColor="text1"/>
          <w:sz w:val="22"/>
        </w:rPr>
      </w:pPr>
    </w:p>
    <w:p w14:paraId="6A44A14E" w14:textId="5BBED601" w:rsidR="004A351F" w:rsidRDefault="004A351F" w:rsidP="13D05368">
      <w:pPr>
        <w:spacing w:line="240" w:lineRule="auto"/>
        <w:rPr>
          <w:rFonts w:eastAsia="Arial"/>
          <w:color w:val="000000" w:themeColor="text1"/>
          <w:sz w:val="22"/>
        </w:rPr>
      </w:pPr>
    </w:p>
    <w:p w14:paraId="34B31F9B" w14:textId="70B116F7" w:rsidR="004A351F" w:rsidRDefault="004A351F" w:rsidP="13D05368">
      <w:pPr>
        <w:spacing w:line="240" w:lineRule="auto"/>
        <w:rPr>
          <w:rFonts w:eastAsia="Arial"/>
          <w:color w:val="000000" w:themeColor="text1"/>
          <w:sz w:val="22"/>
        </w:rPr>
      </w:pPr>
    </w:p>
    <w:p w14:paraId="20DF2DAA" w14:textId="37206FC4" w:rsidR="004A351F" w:rsidRDefault="004A351F" w:rsidP="13D05368">
      <w:pPr>
        <w:spacing w:line="240" w:lineRule="auto"/>
        <w:rPr>
          <w:rFonts w:eastAsia="Arial"/>
          <w:color w:val="000000" w:themeColor="text1"/>
          <w:sz w:val="22"/>
        </w:rPr>
      </w:pPr>
    </w:p>
    <w:p w14:paraId="2E8EA868" w14:textId="65716D78" w:rsidR="004A351F" w:rsidRDefault="004A351F" w:rsidP="13D05368">
      <w:pPr>
        <w:spacing w:line="240" w:lineRule="auto"/>
        <w:rPr>
          <w:rFonts w:eastAsia="Arial"/>
          <w:color w:val="000000" w:themeColor="text1"/>
          <w:sz w:val="22"/>
        </w:rPr>
      </w:pPr>
    </w:p>
    <w:p w14:paraId="72EDE705" w14:textId="142E301C" w:rsidR="004A351F" w:rsidRDefault="004A351F" w:rsidP="13D05368">
      <w:pPr>
        <w:spacing w:line="240" w:lineRule="auto"/>
        <w:rPr>
          <w:rFonts w:eastAsia="Arial"/>
          <w:color w:val="000000" w:themeColor="text1"/>
          <w:sz w:val="22"/>
        </w:rPr>
      </w:pPr>
    </w:p>
    <w:p w14:paraId="7DA85342" w14:textId="2F153008" w:rsidR="004A351F" w:rsidRDefault="004A351F" w:rsidP="13D05368">
      <w:pPr>
        <w:spacing w:line="240" w:lineRule="auto"/>
        <w:rPr>
          <w:rFonts w:eastAsia="Arial"/>
          <w:color w:val="000000" w:themeColor="text1"/>
          <w:sz w:val="22"/>
        </w:rPr>
      </w:pPr>
    </w:p>
    <w:p w14:paraId="1A712E78" w14:textId="2A08F299" w:rsidR="004A351F" w:rsidRDefault="004A351F" w:rsidP="13D05368">
      <w:pPr>
        <w:spacing w:line="240" w:lineRule="auto"/>
        <w:rPr>
          <w:rFonts w:eastAsia="Arial"/>
          <w:color w:val="000000" w:themeColor="text1"/>
          <w:sz w:val="22"/>
        </w:rPr>
      </w:pPr>
    </w:p>
    <w:p w14:paraId="7724FD24" w14:textId="7E725586" w:rsidR="004A351F" w:rsidRDefault="004A351F" w:rsidP="13D05368">
      <w:pPr>
        <w:spacing w:line="240" w:lineRule="auto"/>
        <w:rPr>
          <w:rFonts w:eastAsia="Arial"/>
          <w:color w:val="000000" w:themeColor="text1"/>
          <w:sz w:val="22"/>
        </w:rPr>
      </w:pPr>
    </w:p>
    <w:p w14:paraId="6AE751AC" w14:textId="77777777" w:rsidR="006A143A" w:rsidRDefault="006A143A" w:rsidP="13D05368">
      <w:pPr>
        <w:spacing w:line="240" w:lineRule="auto"/>
        <w:rPr>
          <w:rFonts w:eastAsia="Arial"/>
          <w:color w:val="000000" w:themeColor="text1"/>
          <w:sz w:val="22"/>
        </w:rPr>
      </w:pPr>
    </w:p>
    <w:p w14:paraId="5C2FB996" w14:textId="77777777" w:rsidR="006A143A" w:rsidRDefault="006A143A" w:rsidP="13D05368">
      <w:pPr>
        <w:spacing w:line="240" w:lineRule="auto"/>
        <w:rPr>
          <w:rFonts w:eastAsia="Arial"/>
          <w:color w:val="000000" w:themeColor="text1"/>
          <w:sz w:val="22"/>
        </w:rPr>
      </w:pPr>
    </w:p>
    <w:p w14:paraId="5BA4DA55" w14:textId="77777777" w:rsidR="006A143A" w:rsidRDefault="006A143A" w:rsidP="13D05368">
      <w:pPr>
        <w:spacing w:line="240" w:lineRule="auto"/>
        <w:rPr>
          <w:rFonts w:eastAsia="Arial"/>
          <w:color w:val="000000" w:themeColor="text1"/>
          <w:sz w:val="22"/>
        </w:rPr>
      </w:pPr>
    </w:p>
    <w:p w14:paraId="0F5569CE" w14:textId="77777777" w:rsidR="006A143A" w:rsidRDefault="006A143A" w:rsidP="13D05368">
      <w:pPr>
        <w:spacing w:line="240" w:lineRule="auto"/>
        <w:rPr>
          <w:rFonts w:eastAsia="Arial"/>
          <w:color w:val="000000" w:themeColor="text1"/>
          <w:sz w:val="22"/>
        </w:rPr>
      </w:pPr>
    </w:p>
    <w:p w14:paraId="5FA37B73" w14:textId="77777777" w:rsidR="006A143A" w:rsidRDefault="006A143A" w:rsidP="13D05368">
      <w:pPr>
        <w:spacing w:line="240" w:lineRule="auto"/>
        <w:rPr>
          <w:rFonts w:eastAsia="Arial"/>
          <w:color w:val="000000" w:themeColor="text1"/>
          <w:sz w:val="22"/>
        </w:rPr>
      </w:pPr>
    </w:p>
    <w:p w14:paraId="7E686461" w14:textId="77777777" w:rsidR="006A143A" w:rsidRDefault="006A143A" w:rsidP="13D05368">
      <w:pPr>
        <w:spacing w:line="240" w:lineRule="auto"/>
        <w:rPr>
          <w:rFonts w:eastAsia="Arial"/>
          <w:color w:val="000000" w:themeColor="text1"/>
          <w:sz w:val="22"/>
        </w:rPr>
      </w:pPr>
    </w:p>
    <w:p w14:paraId="79729C08" w14:textId="77777777" w:rsidR="006A143A" w:rsidRDefault="006A143A" w:rsidP="13D05368">
      <w:pPr>
        <w:spacing w:line="240" w:lineRule="auto"/>
        <w:rPr>
          <w:rFonts w:eastAsia="Arial"/>
          <w:color w:val="000000" w:themeColor="text1"/>
          <w:sz w:val="22"/>
        </w:rPr>
      </w:pPr>
    </w:p>
    <w:p w14:paraId="6622306F" w14:textId="77777777" w:rsidR="006A143A" w:rsidRDefault="006A143A" w:rsidP="13D05368">
      <w:pPr>
        <w:spacing w:line="240" w:lineRule="auto"/>
        <w:rPr>
          <w:rFonts w:eastAsia="Arial"/>
          <w:color w:val="000000" w:themeColor="text1"/>
          <w:sz w:val="22"/>
        </w:rPr>
      </w:pPr>
    </w:p>
    <w:p w14:paraId="14956C21" w14:textId="77777777" w:rsidR="006A143A" w:rsidRDefault="006A143A" w:rsidP="13D05368">
      <w:pPr>
        <w:spacing w:line="240" w:lineRule="auto"/>
        <w:rPr>
          <w:rFonts w:eastAsia="Arial"/>
          <w:color w:val="000000" w:themeColor="text1"/>
          <w:sz w:val="22"/>
        </w:rPr>
      </w:pPr>
    </w:p>
    <w:p w14:paraId="1F1BAC7F" w14:textId="77777777" w:rsidR="006A143A" w:rsidRDefault="006A143A" w:rsidP="13D05368">
      <w:pPr>
        <w:spacing w:line="240" w:lineRule="auto"/>
        <w:rPr>
          <w:rFonts w:eastAsia="Arial"/>
          <w:color w:val="000000" w:themeColor="text1"/>
          <w:sz w:val="22"/>
        </w:rPr>
      </w:pPr>
    </w:p>
    <w:p w14:paraId="5D454FA0" w14:textId="77777777" w:rsidR="006A143A" w:rsidRDefault="006A143A" w:rsidP="13D05368">
      <w:pPr>
        <w:spacing w:line="240" w:lineRule="auto"/>
        <w:rPr>
          <w:rFonts w:eastAsia="Arial"/>
          <w:color w:val="000000" w:themeColor="text1"/>
          <w:sz w:val="22"/>
        </w:rPr>
      </w:pPr>
    </w:p>
    <w:p w14:paraId="46BC623D" w14:textId="77777777" w:rsidR="006A143A" w:rsidRDefault="006A143A" w:rsidP="13D05368">
      <w:pPr>
        <w:spacing w:line="240" w:lineRule="auto"/>
        <w:rPr>
          <w:rFonts w:eastAsia="Arial"/>
          <w:color w:val="000000" w:themeColor="text1"/>
          <w:sz w:val="22"/>
        </w:rPr>
      </w:pPr>
    </w:p>
    <w:p w14:paraId="2D1E2D5A" w14:textId="594EB060" w:rsidR="004A351F" w:rsidRDefault="004A351F" w:rsidP="13D05368">
      <w:pPr>
        <w:spacing w:line="240" w:lineRule="auto"/>
        <w:rPr>
          <w:rFonts w:eastAsia="Arial"/>
          <w:color w:val="000000" w:themeColor="text1"/>
          <w:sz w:val="22"/>
        </w:rPr>
      </w:pPr>
    </w:p>
    <w:p w14:paraId="4F507526" w14:textId="11D99A78" w:rsidR="004A351F" w:rsidRDefault="26207899" w:rsidP="13D05368">
      <w:pPr>
        <w:spacing w:line="240" w:lineRule="auto"/>
        <w:rPr>
          <w:rFonts w:eastAsia="Arial"/>
          <w:color w:val="000000" w:themeColor="text1"/>
          <w:sz w:val="22"/>
        </w:rPr>
      </w:pPr>
      <w:r w:rsidRPr="13D05368">
        <w:rPr>
          <w:rStyle w:val="normaltextrun"/>
          <w:rFonts w:eastAsia="Arial"/>
          <w:color w:val="000000" w:themeColor="text1"/>
          <w:sz w:val="22"/>
        </w:rPr>
        <w:lastRenderedPageBreak/>
        <w:t>Table 3: Two-part model for annualized diet, epinephrine, and antihistamine costs</w:t>
      </w:r>
    </w:p>
    <w:p w14:paraId="3F928D0C" w14:textId="0F518F29" w:rsidR="004A351F" w:rsidRDefault="004A351F" w:rsidP="13D05368">
      <w:pPr>
        <w:rPr>
          <w:rFonts w:eastAsia="Arial"/>
          <w:color w:val="000000" w:themeColor="text1"/>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78"/>
        <w:gridCol w:w="1752"/>
        <w:gridCol w:w="1752"/>
        <w:gridCol w:w="1778"/>
      </w:tblGrid>
      <w:tr w:rsidR="13D05368" w14:paraId="754A52F2" w14:textId="77777777" w:rsidTr="13D05368">
        <w:trPr>
          <w:trHeight w:val="300"/>
        </w:trPr>
        <w:tc>
          <w:tcPr>
            <w:tcW w:w="4078" w:type="dxa"/>
            <w:tcBorders>
              <w:top w:val="nil"/>
              <w:left w:val="nil"/>
              <w:bottom w:val="single" w:sz="6" w:space="0" w:color="auto"/>
              <w:right w:val="single" w:sz="6" w:space="0" w:color="auto"/>
            </w:tcBorders>
            <w:tcMar>
              <w:left w:w="105" w:type="dxa"/>
              <w:right w:w="105" w:type="dxa"/>
            </w:tcMar>
            <w:vAlign w:val="center"/>
          </w:tcPr>
          <w:p w14:paraId="4860604A" w14:textId="638D2EA0" w:rsidR="13D05368" w:rsidRDefault="13D05368" w:rsidP="13D05368">
            <w:pPr>
              <w:spacing w:line="240" w:lineRule="auto"/>
              <w:rPr>
                <w:rFonts w:eastAsia="Arial"/>
                <w:sz w:val="22"/>
              </w:rPr>
            </w:pPr>
            <w:r w:rsidRPr="13D05368">
              <w:rPr>
                <w:rFonts w:eastAsia="Arial"/>
                <w:b/>
                <w:bCs/>
                <w:sz w:val="22"/>
              </w:rPr>
              <w:t>Logistic Model for Any Cost (OR, 95% CI)</w:t>
            </w:r>
            <w:r w:rsidRPr="13D05368">
              <w:rPr>
                <w:rFonts w:eastAsia="Arial"/>
                <w:sz w:val="22"/>
              </w:rPr>
              <w:t> </w:t>
            </w:r>
          </w:p>
        </w:tc>
        <w:tc>
          <w:tcPr>
            <w:tcW w:w="1752" w:type="dxa"/>
            <w:tcBorders>
              <w:top w:val="nil"/>
              <w:left w:val="single" w:sz="6" w:space="0" w:color="auto"/>
              <w:bottom w:val="single" w:sz="6" w:space="0" w:color="auto"/>
              <w:right w:val="nil"/>
            </w:tcBorders>
            <w:tcMar>
              <w:left w:w="105" w:type="dxa"/>
              <w:right w:w="105" w:type="dxa"/>
            </w:tcMar>
            <w:vAlign w:val="center"/>
          </w:tcPr>
          <w:p w14:paraId="4D5C9E98" w14:textId="3CC9E72D" w:rsidR="13D05368" w:rsidRDefault="13D05368" w:rsidP="13D05368">
            <w:pPr>
              <w:spacing w:line="240" w:lineRule="auto"/>
              <w:jc w:val="center"/>
              <w:rPr>
                <w:rFonts w:eastAsia="Arial"/>
                <w:sz w:val="22"/>
              </w:rPr>
            </w:pPr>
            <w:r w:rsidRPr="13D05368">
              <w:rPr>
                <w:rFonts w:eastAsia="Arial"/>
                <w:b/>
                <w:bCs/>
                <w:sz w:val="22"/>
              </w:rPr>
              <w:t>Annualized Diet Costs</w:t>
            </w:r>
            <w:r w:rsidRPr="13D05368">
              <w:rPr>
                <w:rFonts w:eastAsia="Arial"/>
                <w:sz w:val="22"/>
              </w:rPr>
              <w:t> </w:t>
            </w:r>
          </w:p>
        </w:tc>
        <w:tc>
          <w:tcPr>
            <w:tcW w:w="1752" w:type="dxa"/>
            <w:tcBorders>
              <w:top w:val="nil"/>
              <w:left w:val="nil"/>
              <w:bottom w:val="single" w:sz="6" w:space="0" w:color="auto"/>
              <w:right w:val="nil"/>
            </w:tcBorders>
            <w:tcMar>
              <w:left w:w="105" w:type="dxa"/>
              <w:right w:w="105" w:type="dxa"/>
            </w:tcMar>
            <w:vAlign w:val="center"/>
          </w:tcPr>
          <w:p w14:paraId="4E09A1F2" w14:textId="13B744F9" w:rsidR="13D05368" w:rsidRDefault="13D05368" w:rsidP="13D05368">
            <w:pPr>
              <w:spacing w:line="240" w:lineRule="auto"/>
              <w:jc w:val="center"/>
              <w:rPr>
                <w:rFonts w:eastAsia="Arial"/>
                <w:sz w:val="22"/>
              </w:rPr>
            </w:pPr>
            <w:r w:rsidRPr="13D05368">
              <w:rPr>
                <w:rFonts w:eastAsia="Arial"/>
                <w:b/>
                <w:bCs/>
                <w:sz w:val="22"/>
              </w:rPr>
              <w:t>Annualized Epinephrine Costs</w:t>
            </w:r>
            <w:r w:rsidRPr="13D05368">
              <w:rPr>
                <w:rFonts w:eastAsia="Arial"/>
                <w:sz w:val="22"/>
              </w:rPr>
              <w:t> </w:t>
            </w:r>
          </w:p>
        </w:tc>
        <w:tc>
          <w:tcPr>
            <w:tcW w:w="1778" w:type="dxa"/>
            <w:tcBorders>
              <w:top w:val="nil"/>
              <w:left w:val="nil"/>
              <w:bottom w:val="single" w:sz="6" w:space="0" w:color="auto"/>
              <w:right w:val="nil"/>
            </w:tcBorders>
            <w:tcMar>
              <w:left w:w="105" w:type="dxa"/>
              <w:right w:w="105" w:type="dxa"/>
            </w:tcMar>
            <w:vAlign w:val="center"/>
          </w:tcPr>
          <w:p w14:paraId="2E00C000" w14:textId="0EF76EB5" w:rsidR="13D05368" w:rsidRDefault="13D05368" w:rsidP="13D05368">
            <w:pPr>
              <w:spacing w:line="240" w:lineRule="auto"/>
              <w:jc w:val="center"/>
              <w:rPr>
                <w:rFonts w:eastAsia="Arial"/>
                <w:sz w:val="22"/>
              </w:rPr>
            </w:pPr>
            <w:r w:rsidRPr="13D05368">
              <w:rPr>
                <w:rFonts w:eastAsia="Arial"/>
                <w:b/>
                <w:bCs/>
                <w:sz w:val="22"/>
              </w:rPr>
              <w:t>Annualized Antihistamine Costs</w:t>
            </w:r>
            <w:r w:rsidRPr="13D05368">
              <w:rPr>
                <w:rFonts w:eastAsia="Arial"/>
                <w:sz w:val="22"/>
              </w:rPr>
              <w:t> </w:t>
            </w:r>
          </w:p>
        </w:tc>
      </w:tr>
      <w:tr w:rsidR="13D05368" w14:paraId="6C1CBB2C" w14:textId="77777777" w:rsidTr="13D05368">
        <w:trPr>
          <w:trHeight w:val="300"/>
        </w:trPr>
        <w:tc>
          <w:tcPr>
            <w:tcW w:w="4078" w:type="dxa"/>
            <w:tcBorders>
              <w:top w:val="single" w:sz="6" w:space="0" w:color="auto"/>
              <w:left w:val="nil"/>
              <w:bottom w:val="nil"/>
              <w:right w:val="single" w:sz="6" w:space="0" w:color="auto"/>
            </w:tcBorders>
            <w:tcMar>
              <w:left w:w="105" w:type="dxa"/>
              <w:right w:w="105" w:type="dxa"/>
            </w:tcMar>
            <w:vAlign w:val="center"/>
          </w:tcPr>
          <w:p w14:paraId="39C14DDE" w14:textId="395CE1C9" w:rsidR="13D05368" w:rsidRDefault="13D05368" w:rsidP="13D05368">
            <w:pPr>
              <w:spacing w:line="240" w:lineRule="auto"/>
              <w:rPr>
                <w:rFonts w:eastAsia="Arial"/>
                <w:sz w:val="22"/>
              </w:rPr>
            </w:pPr>
            <w:r w:rsidRPr="13D05368">
              <w:rPr>
                <w:rFonts w:eastAsia="Arial"/>
                <w:b/>
                <w:bCs/>
                <w:sz w:val="22"/>
              </w:rPr>
              <w:t>Household Income (Ref: &lt;$100k)</w:t>
            </w:r>
            <w:r w:rsidRPr="13D05368">
              <w:rPr>
                <w:rFonts w:eastAsia="Arial"/>
                <w:sz w:val="22"/>
              </w:rPr>
              <w:t> </w:t>
            </w:r>
          </w:p>
        </w:tc>
        <w:tc>
          <w:tcPr>
            <w:tcW w:w="1752" w:type="dxa"/>
            <w:tcBorders>
              <w:top w:val="single" w:sz="6" w:space="0" w:color="auto"/>
              <w:left w:val="single" w:sz="6" w:space="0" w:color="auto"/>
              <w:bottom w:val="nil"/>
              <w:right w:val="nil"/>
            </w:tcBorders>
            <w:tcMar>
              <w:left w:w="105" w:type="dxa"/>
              <w:right w:w="105" w:type="dxa"/>
            </w:tcMar>
            <w:vAlign w:val="center"/>
          </w:tcPr>
          <w:p w14:paraId="76534709" w14:textId="2396039F" w:rsidR="13D05368" w:rsidRDefault="13D05368" w:rsidP="13D05368">
            <w:pPr>
              <w:spacing w:line="240" w:lineRule="auto"/>
              <w:jc w:val="center"/>
              <w:rPr>
                <w:rFonts w:eastAsia="Arial"/>
                <w:sz w:val="22"/>
              </w:rPr>
            </w:pPr>
            <w:r w:rsidRPr="13D05368">
              <w:rPr>
                <w:rFonts w:eastAsia="Arial"/>
                <w:sz w:val="22"/>
              </w:rPr>
              <w:t> </w:t>
            </w:r>
          </w:p>
        </w:tc>
        <w:tc>
          <w:tcPr>
            <w:tcW w:w="1752" w:type="dxa"/>
            <w:tcBorders>
              <w:top w:val="single" w:sz="6" w:space="0" w:color="auto"/>
              <w:left w:val="nil"/>
              <w:bottom w:val="nil"/>
              <w:right w:val="nil"/>
            </w:tcBorders>
            <w:tcMar>
              <w:left w:w="105" w:type="dxa"/>
              <w:right w:w="105" w:type="dxa"/>
            </w:tcMar>
            <w:vAlign w:val="center"/>
          </w:tcPr>
          <w:p w14:paraId="4F558E25" w14:textId="686C83A7" w:rsidR="13D05368" w:rsidRDefault="13D05368" w:rsidP="13D05368">
            <w:pPr>
              <w:spacing w:line="240" w:lineRule="auto"/>
              <w:jc w:val="center"/>
              <w:rPr>
                <w:rFonts w:eastAsia="Arial"/>
                <w:sz w:val="22"/>
              </w:rPr>
            </w:pPr>
            <w:r w:rsidRPr="13D05368">
              <w:rPr>
                <w:rFonts w:eastAsia="Arial"/>
                <w:sz w:val="22"/>
              </w:rPr>
              <w:t> </w:t>
            </w:r>
          </w:p>
        </w:tc>
        <w:tc>
          <w:tcPr>
            <w:tcW w:w="1778" w:type="dxa"/>
            <w:tcBorders>
              <w:top w:val="single" w:sz="6" w:space="0" w:color="auto"/>
              <w:left w:val="nil"/>
              <w:bottom w:val="nil"/>
              <w:right w:val="nil"/>
            </w:tcBorders>
            <w:tcMar>
              <w:left w:w="105" w:type="dxa"/>
              <w:right w:w="105" w:type="dxa"/>
            </w:tcMar>
            <w:vAlign w:val="center"/>
          </w:tcPr>
          <w:p w14:paraId="5537F0E3" w14:textId="20C9B6D4" w:rsidR="13D05368" w:rsidRDefault="13D05368" w:rsidP="13D05368">
            <w:pPr>
              <w:spacing w:line="240" w:lineRule="auto"/>
              <w:jc w:val="center"/>
              <w:rPr>
                <w:rFonts w:eastAsia="Arial"/>
                <w:sz w:val="22"/>
              </w:rPr>
            </w:pPr>
            <w:r w:rsidRPr="13D05368">
              <w:rPr>
                <w:rFonts w:eastAsia="Arial"/>
                <w:sz w:val="22"/>
              </w:rPr>
              <w:t> </w:t>
            </w:r>
          </w:p>
        </w:tc>
      </w:tr>
      <w:tr w:rsidR="13D05368" w14:paraId="7AF624C7" w14:textId="77777777" w:rsidTr="13D05368">
        <w:trPr>
          <w:trHeight w:val="300"/>
        </w:trPr>
        <w:tc>
          <w:tcPr>
            <w:tcW w:w="4078" w:type="dxa"/>
            <w:tcBorders>
              <w:top w:val="nil"/>
              <w:left w:val="nil"/>
              <w:bottom w:val="nil"/>
              <w:right w:val="single" w:sz="6" w:space="0" w:color="auto"/>
            </w:tcBorders>
            <w:tcMar>
              <w:left w:w="105" w:type="dxa"/>
              <w:right w:w="105" w:type="dxa"/>
            </w:tcMar>
            <w:vAlign w:val="center"/>
          </w:tcPr>
          <w:p w14:paraId="5468CCED" w14:textId="1CC7BA26" w:rsidR="13D05368" w:rsidRDefault="13D05368" w:rsidP="13D05368">
            <w:pPr>
              <w:spacing w:line="240" w:lineRule="auto"/>
              <w:ind w:left="345" w:right="-120"/>
              <w:rPr>
                <w:rFonts w:eastAsia="Arial"/>
                <w:sz w:val="22"/>
              </w:rPr>
            </w:pPr>
            <w:r w:rsidRPr="13D05368">
              <w:rPr>
                <w:rFonts w:eastAsia="Arial"/>
                <w:sz w:val="22"/>
              </w:rPr>
              <w:t>$100k-200k </w:t>
            </w:r>
          </w:p>
        </w:tc>
        <w:tc>
          <w:tcPr>
            <w:tcW w:w="1752" w:type="dxa"/>
            <w:tcBorders>
              <w:top w:val="nil"/>
              <w:left w:val="single" w:sz="6" w:space="0" w:color="auto"/>
              <w:bottom w:val="nil"/>
              <w:right w:val="nil"/>
            </w:tcBorders>
            <w:tcMar>
              <w:left w:w="105" w:type="dxa"/>
              <w:right w:w="105" w:type="dxa"/>
            </w:tcMar>
            <w:vAlign w:val="center"/>
          </w:tcPr>
          <w:p w14:paraId="474B8B9F" w14:textId="19B74142" w:rsidR="13D05368" w:rsidRDefault="13D05368" w:rsidP="13D05368">
            <w:pPr>
              <w:spacing w:line="240" w:lineRule="auto"/>
              <w:jc w:val="center"/>
              <w:rPr>
                <w:rFonts w:eastAsia="Arial"/>
                <w:sz w:val="22"/>
              </w:rPr>
            </w:pPr>
            <w:r w:rsidRPr="13D05368">
              <w:rPr>
                <w:rFonts w:eastAsia="Arial"/>
                <w:sz w:val="22"/>
              </w:rPr>
              <w:t>0.9 (0.5,1.7)</w:t>
            </w:r>
          </w:p>
        </w:tc>
        <w:tc>
          <w:tcPr>
            <w:tcW w:w="1752" w:type="dxa"/>
            <w:tcBorders>
              <w:top w:val="nil"/>
              <w:left w:val="nil"/>
              <w:bottom w:val="nil"/>
              <w:right w:val="nil"/>
            </w:tcBorders>
            <w:tcMar>
              <w:left w:w="105" w:type="dxa"/>
              <w:right w:w="105" w:type="dxa"/>
            </w:tcMar>
            <w:vAlign w:val="center"/>
          </w:tcPr>
          <w:p w14:paraId="0A8A9799" w14:textId="2014B9EA" w:rsidR="13D05368" w:rsidRDefault="13D05368" w:rsidP="13D05368">
            <w:pPr>
              <w:spacing w:line="240" w:lineRule="auto"/>
              <w:jc w:val="center"/>
              <w:rPr>
                <w:rFonts w:eastAsia="Arial"/>
                <w:sz w:val="22"/>
              </w:rPr>
            </w:pPr>
            <w:r w:rsidRPr="13D05368">
              <w:rPr>
                <w:rFonts w:eastAsia="Arial"/>
                <w:sz w:val="22"/>
              </w:rPr>
              <w:t>3.3</w:t>
            </w:r>
            <w:r w:rsidRPr="13D05368">
              <w:rPr>
                <w:rFonts w:eastAsia="Arial"/>
                <w:sz w:val="22"/>
                <w:vertAlign w:val="superscript"/>
              </w:rPr>
              <w:t>*</w:t>
            </w:r>
            <w:r w:rsidRPr="13D05368">
              <w:rPr>
                <w:rFonts w:eastAsia="Arial"/>
                <w:sz w:val="22"/>
              </w:rPr>
              <w:t xml:space="preserve"> (1.1,9.7)</w:t>
            </w:r>
          </w:p>
        </w:tc>
        <w:tc>
          <w:tcPr>
            <w:tcW w:w="1778" w:type="dxa"/>
            <w:tcBorders>
              <w:top w:val="nil"/>
              <w:left w:val="nil"/>
              <w:bottom w:val="nil"/>
              <w:right w:val="nil"/>
            </w:tcBorders>
            <w:tcMar>
              <w:left w:w="105" w:type="dxa"/>
              <w:right w:w="105" w:type="dxa"/>
            </w:tcMar>
            <w:vAlign w:val="center"/>
          </w:tcPr>
          <w:p w14:paraId="089C1F7E" w14:textId="54278142" w:rsidR="13D05368" w:rsidRDefault="13D05368" w:rsidP="13D05368">
            <w:pPr>
              <w:spacing w:line="240" w:lineRule="auto"/>
              <w:jc w:val="center"/>
              <w:rPr>
                <w:rFonts w:eastAsia="Arial"/>
                <w:sz w:val="22"/>
              </w:rPr>
            </w:pPr>
            <w:r w:rsidRPr="13D05368">
              <w:rPr>
                <w:rFonts w:eastAsia="Arial"/>
                <w:sz w:val="22"/>
              </w:rPr>
              <w:t>1.8</w:t>
            </w:r>
            <w:r w:rsidRPr="13D05368">
              <w:rPr>
                <w:rFonts w:eastAsia="Arial"/>
                <w:sz w:val="22"/>
                <w:vertAlign w:val="superscript"/>
              </w:rPr>
              <w:t>***</w:t>
            </w:r>
            <w:r w:rsidRPr="13D05368">
              <w:rPr>
                <w:rFonts w:eastAsia="Arial"/>
                <w:sz w:val="22"/>
              </w:rPr>
              <w:t xml:space="preserve"> (1.6,2.1)</w:t>
            </w:r>
          </w:p>
        </w:tc>
      </w:tr>
      <w:tr w:rsidR="13D05368" w14:paraId="2A928A79" w14:textId="77777777" w:rsidTr="13D05368">
        <w:trPr>
          <w:trHeight w:val="300"/>
        </w:trPr>
        <w:tc>
          <w:tcPr>
            <w:tcW w:w="4078" w:type="dxa"/>
            <w:tcBorders>
              <w:top w:val="nil"/>
              <w:left w:val="nil"/>
              <w:bottom w:val="nil"/>
              <w:right w:val="single" w:sz="6" w:space="0" w:color="auto"/>
            </w:tcBorders>
            <w:tcMar>
              <w:left w:w="105" w:type="dxa"/>
              <w:right w:w="105" w:type="dxa"/>
            </w:tcMar>
            <w:vAlign w:val="center"/>
          </w:tcPr>
          <w:p w14:paraId="7DD2358F" w14:textId="7B12D290" w:rsidR="13D05368" w:rsidRDefault="13D05368" w:rsidP="13D05368">
            <w:pPr>
              <w:spacing w:line="240" w:lineRule="auto"/>
              <w:ind w:left="345" w:right="-120"/>
              <w:rPr>
                <w:rFonts w:eastAsia="Arial"/>
                <w:sz w:val="22"/>
              </w:rPr>
            </w:pPr>
            <w:r w:rsidRPr="13D05368">
              <w:rPr>
                <w:rFonts w:eastAsia="Arial"/>
                <w:sz w:val="22"/>
              </w:rPr>
              <w:t>200k+ </w:t>
            </w:r>
          </w:p>
        </w:tc>
        <w:tc>
          <w:tcPr>
            <w:tcW w:w="1752" w:type="dxa"/>
            <w:tcBorders>
              <w:top w:val="nil"/>
              <w:left w:val="single" w:sz="6" w:space="0" w:color="auto"/>
              <w:bottom w:val="nil"/>
              <w:right w:val="nil"/>
            </w:tcBorders>
            <w:tcMar>
              <w:left w:w="105" w:type="dxa"/>
              <w:right w:w="105" w:type="dxa"/>
            </w:tcMar>
            <w:vAlign w:val="center"/>
          </w:tcPr>
          <w:p w14:paraId="72DD549D" w14:textId="06CBDDB2" w:rsidR="13D05368" w:rsidRDefault="13D05368" w:rsidP="13D05368">
            <w:pPr>
              <w:spacing w:line="240" w:lineRule="auto"/>
              <w:jc w:val="center"/>
              <w:rPr>
                <w:rFonts w:eastAsia="Arial"/>
                <w:sz w:val="22"/>
              </w:rPr>
            </w:pPr>
            <w:r w:rsidRPr="13D05368">
              <w:rPr>
                <w:rFonts w:eastAsia="Arial"/>
                <w:sz w:val="22"/>
              </w:rPr>
              <w:t>0.9 (0.5,1.6)</w:t>
            </w:r>
          </w:p>
        </w:tc>
        <w:tc>
          <w:tcPr>
            <w:tcW w:w="1752" w:type="dxa"/>
            <w:tcBorders>
              <w:top w:val="nil"/>
              <w:left w:val="nil"/>
              <w:bottom w:val="nil"/>
              <w:right w:val="nil"/>
            </w:tcBorders>
            <w:tcMar>
              <w:left w:w="105" w:type="dxa"/>
              <w:right w:w="105" w:type="dxa"/>
            </w:tcMar>
            <w:vAlign w:val="center"/>
          </w:tcPr>
          <w:p w14:paraId="18E8FE1A" w14:textId="0C3B48DD" w:rsidR="13D05368" w:rsidRDefault="13D05368" w:rsidP="13D05368">
            <w:pPr>
              <w:spacing w:line="240" w:lineRule="auto"/>
              <w:jc w:val="center"/>
              <w:rPr>
                <w:rFonts w:eastAsia="Arial"/>
                <w:sz w:val="22"/>
              </w:rPr>
            </w:pPr>
            <w:r w:rsidRPr="13D05368">
              <w:rPr>
                <w:rFonts w:eastAsia="Arial"/>
                <w:sz w:val="22"/>
              </w:rPr>
              <w:t>2.4 (0.6,9.8)</w:t>
            </w:r>
          </w:p>
        </w:tc>
        <w:tc>
          <w:tcPr>
            <w:tcW w:w="1778" w:type="dxa"/>
            <w:tcBorders>
              <w:top w:val="nil"/>
              <w:left w:val="nil"/>
              <w:bottom w:val="nil"/>
              <w:right w:val="nil"/>
            </w:tcBorders>
            <w:tcMar>
              <w:left w:w="105" w:type="dxa"/>
              <w:right w:w="105" w:type="dxa"/>
            </w:tcMar>
            <w:vAlign w:val="center"/>
          </w:tcPr>
          <w:p w14:paraId="319CDF5A" w14:textId="4D47EB58" w:rsidR="13D05368" w:rsidRDefault="13D05368" w:rsidP="13D05368">
            <w:pPr>
              <w:spacing w:line="240" w:lineRule="auto"/>
              <w:jc w:val="center"/>
              <w:rPr>
                <w:rFonts w:eastAsia="Arial"/>
                <w:sz w:val="22"/>
              </w:rPr>
            </w:pPr>
            <w:r w:rsidRPr="13D05368">
              <w:rPr>
                <w:rFonts w:eastAsia="Arial"/>
                <w:sz w:val="22"/>
              </w:rPr>
              <w:t>1.4 (0.9,2.2)</w:t>
            </w:r>
          </w:p>
        </w:tc>
      </w:tr>
      <w:tr w:rsidR="13D05368" w14:paraId="7665094C" w14:textId="77777777" w:rsidTr="13D05368">
        <w:trPr>
          <w:trHeight w:val="300"/>
        </w:trPr>
        <w:tc>
          <w:tcPr>
            <w:tcW w:w="4078" w:type="dxa"/>
            <w:tcBorders>
              <w:top w:val="nil"/>
              <w:left w:val="nil"/>
              <w:bottom w:val="nil"/>
              <w:right w:val="single" w:sz="6" w:space="0" w:color="auto"/>
            </w:tcBorders>
            <w:tcMar>
              <w:left w:w="105" w:type="dxa"/>
              <w:right w:w="105" w:type="dxa"/>
            </w:tcMar>
            <w:vAlign w:val="center"/>
          </w:tcPr>
          <w:p w14:paraId="29354DE8" w14:textId="374F412B" w:rsidR="13D05368" w:rsidRDefault="13D05368" w:rsidP="13D05368">
            <w:pPr>
              <w:spacing w:line="240" w:lineRule="auto"/>
              <w:rPr>
                <w:rFonts w:eastAsia="Arial"/>
                <w:sz w:val="22"/>
              </w:rPr>
            </w:pPr>
            <w:r w:rsidRPr="13D05368">
              <w:rPr>
                <w:rFonts w:eastAsia="Arial"/>
                <w:b/>
                <w:bCs/>
                <w:sz w:val="22"/>
              </w:rPr>
              <w:t>Race and Ethnicity (Ref: NHW)</w:t>
            </w:r>
            <w:r w:rsidRPr="13D05368">
              <w:rPr>
                <w:rFonts w:eastAsia="Arial"/>
                <w:sz w:val="22"/>
              </w:rPr>
              <w:t> </w:t>
            </w:r>
          </w:p>
        </w:tc>
        <w:tc>
          <w:tcPr>
            <w:tcW w:w="1752" w:type="dxa"/>
            <w:tcBorders>
              <w:top w:val="nil"/>
              <w:left w:val="single" w:sz="6" w:space="0" w:color="auto"/>
              <w:bottom w:val="nil"/>
              <w:right w:val="nil"/>
            </w:tcBorders>
            <w:tcMar>
              <w:left w:w="105" w:type="dxa"/>
              <w:right w:w="105" w:type="dxa"/>
            </w:tcMar>
            <w:vAlign w:val="center"/>
          </w:tcPr>
          <w:p w14:paraId="587A495E" w14:textId="21B8905A" w:rsidR="13D05368" w:rsidRDefault="13D05368" w:rsidP="13D05368">
            <w:pPr>
              <w:spacing w:line="240" w:lineRule="auto"/>
              <w:jc w:val="center"/>
              <w:rPr>
                <w:rFonts w:eastAsia="Arial"/>
                <w:sz w:val="22"/>
              </w:rPr>
            </w:pPr>
            <w:r w:rsidRPr="13D05368">
              <w:rPr>
                <w:rFonts w:eastAsia="Arial"/>
                <w:sz w:val="22"/>
              </w:rPr>
              <w:t> </w:t>
            </w:r>
          </w:p>
        </w:tc>
        <w:tc>
          <w:tcPr>
            <w:tcW w:w="1752" w:type="dxa"/>
            <w:tcBorders>
              <w:top w:val="nil"/>
              <w:left w:val="nil"/>
              <w:bottom w:val="nil"/>
              <w:right w:val="nil"/>
            </w:tcBorders>
            <w:tcMar>
              <w:left w:w="105" w:type="dxa"/>
              <w:right w:w="105" w:type="dxa"/>
            </w:tcMar>
            <w:vAlign w:val="center"/>
          </w:tcPr>
          <w:p w14:paraId="10EB0418" w14:textId="66B23AB5" w:rsidR="13D05368" w:rsidRDefault="13D05368" w:rsidP="13D05368">
            <w:pPr>
              <w:spacing w:line="240" w:lineRule="auto"/>
              <w:jc w:val="center"/>
              <w:rPr>
                <w:rFonts w:eastAsia="Arial"/>
                <w:sz w:val="22"/>
              </w:rPr>
            </w:pPr>
            <w:r w:rsidRPr="13D05368">
              <w:rPr>
                <w:rFonts w:eastAsia="Arial"/>
                <w:sz w:val="22"/>
              </w:rPr>
              <w:t> </w:t>
            </w:r>
          </w:p>
        </w:tc>
        <w:tc>
          <w:tcPr>
            <w:tcW w:w="1778" w:type="dxa"/>
            <w:tcBorders>
              <w:top w:val="nil"/>
              <w:left w:val="nil"/>
              <w:bottom w:val="nil"/>
              <w:right w:val="nil"/>
            </w:tcBorders>
            <w:tcMar>
              <w:left w:w="105" w:type="dxa"/>
              <w:right w:w="105" w:type="dxa"/>
            </w:tcMar>
            <w:vAlign w:val="center"/>
          </w:tcPr>
          <w:p w14:paraId="021BAFFA" w14:textId="59852579" w:rsidR="13D05368" w:rsidRDefault="13D05368" w:rsidP="13D05368">
            <w:pPr>
              <w:spacing w:line="240" w:lineRule="auto"/>
              <w:jc w:val="center"/>
              <w:rPr>
                <w:rFonts w:eastAsia="Arial"/>
                <w:sz w:val="22"/>
              </w:rPr>
            </w:pPr>
            <w:r w:rsidRPr="13D05368">
              <w:rPr>
                <w:rFonts w:eastAsia="Arial"/>
                <w:sz w:val="22"/>
              </w:rPr>
              <w:t> </w:t>
            </w:r>
          </w:p>
        </w:tc>
      </w:tr>
      <w:tr w:rsidR="13D05368" w14:paraId="2F7E09E7" w14:textId="77777777" w:rsidTr="13D05368">
        <w:trPr>
          <w:trHeight w:val="300"/>
        </w:trPr>
        <w:tc>
          <w:tcPr>
            <w:tcW w:w="4078" w:type="dxa"/>
            <w:tcBorders>
              <w:top w:val="nil"/>
              <w:left w:val="nil"/>
              <w:bottom w:val="nil"/>
              <w:right w:val="single" w:sz="6" w:space="0" w:color="auto"/>
            </w:tcBorders>
            <w:tcMar>
              <w:left w:w="105" w:type="dxa"/>
              <w:right w:w="105" w:type="dxa"/>
            </w:tcMar>
            <w:vAlign w:val="center"/>
          </w:tcPr>
          <w:p w14:paraId="49887D92" w14:textId="669426B5" w:rsidR="13D05368" w:rsidRDefault="13D05368" w:rsidP="13D05368">
            <w:pPr>
              <w:spacing w:line="240" w:lineRule="auto"/>
              <w:ind w:left="345"/>
              <w:rPr>
                <w:rFonts w:eastAsia="Arial"/>
                <w:sz w:val="22"/>
              </w:rPr>
            </w:pPr>
            <w:r w:rsidRPr="13D05368">
              <w:rPr>
                <w:rFonts w:eastAsia="Arial"/>
                <w:sz w:val="22"/>
              </w:rPr>
              <w:t>NHB </w:t>
            </w:r>
          </w:p>
        </w:tc>
        <w:tc>
          <w:tcPr>
            <w:tcW w:w="1752" w:type="dxa"/>
            <w:tcBorders>
              <w:top w:val="nil"/>
              <w:left w:val="single" w:sz="6" w:space="0" w:color="auto"/>
              <w:bottom w:val="nil"/>
              <w:right w:val="nil"/>
            </w:tcBorders>
            <w:tcMar>
              <w:left w:w="105" w:type="dxa"/>
              <w:right w:w="105" w:type="dxa"/>
            </w:tcMar>
            <w:vAlign w:val="center"/>
          </w:tcPr>
          <w:p w14:paraId="425C16C8" w14:textId="686BE424" w:rsidR="13D05368" w:rsidRDefault="13D05368" w:rsidP="13D05368">
            <w:pPr>
              <w:spacing w:line="240" w:lineRule="auto"/>
              <w:jc w:val="center"/>
              <w:rPr>
                <w:rFonts w:eastAsia="Arial"/>
                <w:sz w:val="22"/>
              </w:rPr>
            </w:pPr>
            <w:r w:rsidRPr="13D05368">
              <w:rPr>
                <w:rFonts w:eastAsia="Arial"/>
                <w:sz w:val="22"/>
              </w:rPr>
              <w:t>0.5</w:t>
            </w:r>
            <w:r w:rsidRPr="13D05368">
              <w:rPr>
                <w:rFonts w:eastAsia="Arial"/>
                <w:sz w:val="22"/>
                <w:vertAlign w:val="superscript"/>
              </w:rPr>
              <w:t>*</w:t>
            </w:r>
            <w:r w:rsidRPr="13D05368">
              <w:rPr>
                <w:rFonts w:eastAsia="Arial"/>
                <w:sz w:val="22"/>
              </w:rPr>
              <w:t xml:space="preserve"> (0.3,0.9)</w:t>
            </w:r>
          </w:p>
        </w:tc>
        <w:tc>
          <w:tcPr>
            <w:tcW w:w="1752" w:type="dxa"/>
            <w:tcBorders>
              <w:top w:val="nil"/>
              <w:left w:val="nil"/>
              <w:bottom w:val="nil"/>
              <w:right w:val="nil"/>
            </w:tcBorders>
            <w:tcMar>
              <w:left w:w="105" w:type="dxa"/>
              <w:right w:w="105" w:type="dxa"/>
            </w:tcMar>
            <w:vAlign w:val="center"/>
          </w:tcPr>
          <w:p w14:paraId="426A34BD" w14:textId="4CAA0634" w:rsidR="13D05368" w:rsidRDefault="13D05368" w:rsidP="13D05368">
            <w:pPr>
              <w:spacing w:line="240" w:lineRule="auto"/>
              <w:jc w:val="center"/>
              <w:rPr>
                <w:rFonts w:eastAsia="Arial"/>
                <w:sz w:val="22"/>
              </w:rPr>
            </w:pPr>
            <w:r w:rsidRPr="13D05368">
              <w:rPr>
                <w:rFonts w:eastAsia="Arial"/>
                <w:sz w:val="22"/>
              </w:rPr>
              <w:t>0.5 (0.1,2.7)</w:t>
            </w:r>
          </w:p>
        </w:tc>
        <w:tc>
          <w:tcPr>
            <w:tcW w:w="1778" w:type="dxa"/>
            <w:tcBorders>
              <w:top w:val="nil"/>
              <w:left w:val="nil"/>
              <w:bottom w:val="nil"/>
              <w:right w:val="nil"/>
            </w:tcBorders>
            <w:tcMar>
              <w:left w:w="105" w:type="dxa"/>
              <w:right w:w="105" w:type="dxa"/>
            </w:tcMar>
            <w:vAlign w:val="center"/>
          </w:tcPr>
          <w:p w14:paraId="36AAB694" w14:textId="1BEAD220" w:rsidR="13D05368" w:rsidRDefault="13D05368" w:rsidP="13D05368">
            <w:pPr>
              <w:spacing w:line="240" w:lineRule="auto"/>
              <w:jc w:val="center"/>
              <w:rPr>
                <w:rFonts w:eastAsia="Arial"/>
                <w:sz w:val="22"/>
              </w:rPr>
            </w:pPr>
            <w:r w:rsidRPr="13D05368">
              <w:rPr>
                <w:rFonts w:eastAsia="Arial"/>
                <w:sz w:val="22"/>
              </w:rPr>
              <w:t>0.3</w:t>
            </w:r>
            <w:r w:rsidRPr="13D05368">
              <w:rPr>
                <w:rFonts w:eastAsia="Arial"/>
                <w:sz w:val="22"/>
                <w:vertAlign w:val="superscript"/>
              </w:rPr>
              <w:t>***</w:t>
            </w:r>
            <w:r w:rsidRPr="13D05368">
              <w:rPr>
                <w:rFonts w:eastAsia="Arial"/>
                <w:sz w:val="22"/>
              </w:rPr>
              <w:t xml:space="preserve"> (0.1,0.5)</w:t>
            </w:r>
          </w:p>
        </w:tc>
      </w:tr>
      <w:tr w:rsidR="13D05368" w14:paraId="4583CD39" w14:textId="77777777" w:rsidTr="13D05368">
        <w:trPr>
          <w:trHeight w:val="300"/>
        </w:trPr>
        <w:tc>
          <w:tcPr>
            <w:tcW w:w="4078" w:type="dxa"/>
            <w:tcBorders>
              <w:top w:val="nil"/>
              <w:left w:val="nil"/>
              <w:bottom w:val="nil"/>
              <w:right w:val="single" w:sz="6" w:space="0" w:color="auto"/>
            </w:tcBorders>
            <w:tcMar>
              <w:left w:w="105" w:type="dxa"/>
              <w:right w:w="105" w:type="dxa"/>
            </w:tcMar>
            <w:vAlign w:val="center"/>
          </w:tcPr>
          <w:p w14:paraId="0334FD2B" w14:textId="7F746227" w:rsidR="13D05368" w:rsidRDefault="13D05368" w:rsidP="13D05368">
            <w:pPr>
              <w:spacing w:line="240" w:lineRule="auto"/>
              <w:ind w:left="345"/>
              <w:rPr>
                <w:rFonts w:eastAsia="Arial"/>
                <w:sz w:val="22"/>
              </w:rPr>
            </w:pPr>
            <w:r w:rsidRPr="13D05368">
              <w:rPr>
                <w:rFonts w:eastAsia="Arial"/>
                <w:sz w:val="22"/>
              </w:rPr>
              <w:t>H/L </w:t>
            </w:r>
          </w:p>
        </w:tc>
        <w:tc>
          <w:tcPr>
            <w:tcW w:w="1752" w:type="dxa"/>
            <w:tcBorders>
              <w:top w:val="nil"/>
              <w:left w:val="single" w:sz="6" w:space="0" w:color="auto"/>
              <w:bottom w:val="nil"/>
              <w:right w:val="nil"/>
            </w:tcBorders>
            <w:tcMar>
              <w:left w:w="105" w:type="dxa"/>
              <w:right w:w="105" w:type="dxa"/>
            </w:tcMar>
            <w:vAlign w:val="center"/>
          </w:tcPr>
          <w:p w14:paraId="4A7EA03E" w14:textId="2E37F05E" w:rsidR="13D05368" w:rsidRDefault="13D05368" w:rsidP="13D05368">
            <w:pPr>
              <w:spacing w:line="240" w:lineRule="auto"/>
              <w:jc w:val="center"/>
              <w:rPr>
                <w:rFonts w:eastAsia="Arial"/>
                <w:sz w:val="22"/>
              </w:rPr>
            </w:pPr>
            <w:r w:rsidRPr="13D05368">
              <w:rPr>
                <w:rFonts w:eastAsia="Arial"/>
                <w:sz w:val="22"/>
              </w:rPr>
              <w:t>1.3 (0.3,5.2)</w:t>
            </w:r>
          </w:p>
        </w:tc>
        <w:tc>
          <w:tcPr>
            <w:tcW w:w="1752" w:type="dxa"/>
            <w:tcBorders>
              <w:top w:val="nil"/>
              <w:left w:val="nil"/>
              <w:bottom w:val="nil"/>
              <w:right w:val="nil"/>
            </w:tcBorders>
            <w:tcMar>
              <w:left w:w="105" w:type="dxa"/>
              <w:right w:w="105" w:type="dxa"/>
            </w:tcMar>
            <w:vAlign w:val="center"/>
          </w:tcPr>
          <w:p w14:paraId="4EE8C9CC" w14:textId="3E00077C" w:rsidR="13D05368" w:rsidRDefault="13D05368" w:rsidP="13D05368">
            <w:pPr>
              <w:spacing w:line="240" w:lineRule="auto"/>
              <w:jc w:val="center"/>
              <w:rPr>
                <w:rFonts w:eastAsia="Arial"/>
                <w:sz w:val="22"/>
              </w:rPr>
            </w:pPr>
            <w:r w:rsidRPr="13D05368">
              <w:rPr>
                <w:rFonts w:eastAsia="Arial"/>
                <w:sz w:val="22"/>
              </w:rPr>
              <w:t>0.8 (0.3,2.0)</w:t>
            </w:r>
          </w:p>
        </w:tc>
        <w:tc>
          <w:tcPr>
            <w:tcW w:w="1778" w:type="dxa"/>
            <w:tcBorders>
              <w:top w:val="nil"/>
              <w:left w:val="nil"/>
              <w:bottom w:val="nil"/>
              <w:right w:val="nil"/>
            </w:tcBorders>
            <w:tcMar>
              <w:left w:w="105" w:type="dxa"/>
              <w:right w:w="105" w:type="dxa"/>
            </w:tcMar>
            <w:vAlign w:val="center"/>
          </w:tcPr>
          <w:p w14:paraId="78266E44" w14:textId="797DD0C2" w:rsidR="13D05368" w:rsidRDefault="13D05368" w:rsidP="13D05368">
            <w:pPr>
              <w:spacing w:line="240" w:lineRule="auto"/>
              <w:jc w:val="center"/>
              <w:rPr>
                <w:rFonts w:eastAsia="Arial"/>
                <w:sz w:val="22"/>
              </w:rPr>
            </w:pPr>
            <w:r w:rsidRPr="13D05368">
              <w:rPr>
                <w:rFonts w:eastAsia="Arial"/>
                <w:sz w:val="22"/>
              </w:rPr>
              <w:t>1.1 (0.6,2.4)</w:t>
            </w:r>
          </w:p>
        </w:tc>
      </w:tr>
      <w:tr w:rsidR="13D05368" w14:paraId="060461DA" w14:textId="77777777" w:rsidTr="13D05368">
        <w:trPr>
          <w:trHeight w:val="300"/>
        </w:trPr>
        <w:tc>
          <w:tcPr>
            <w:tcW w:w="4078" w:type="dxa"/>
            <w:tcBorders>
              <w:top w:val="nil"/>
              <w:left w:val="nil"/>
              <w:bottom w:val="nil"/>
              <w:right w:val="single" w:sz="6" w:space="0" w:color="auto"/>
            </w:tcBorders>
            <w:tcMar>
              <w:left w:w="105" w:type="dxa"/>
              <w:right w:w="105" w:type="dxa"/>
            </w:tcMar>
            <w:vAlign w:val="center"/>
          </w:tcPr>
          <w:p w14:paraId="09A88599" w14:textId="69DB0896" w:rsidR="13D05368" w:rsidRDefault="13D05368" w:rsidP="13D05368">
            <w:pPr>
              <w:spacing w:line="240" w:lineRule="auto"/>
              <w:rPr>
                <w:rFonts w:eastAsia="Arial"/>
                <w:sz w:val="22"/>
              </w:rPr>
            </w:pPr>
            <w:r w:rsidRPr="13D05368">
              <w:rPr>
                <w:rFonts w:eastAsia="Arial"/>
                <w:b/>
                <w:bCs/>
                <w:sz w:val="22"/>
              </w:rPr>
              <w:t>Gender (Ref: Male)</w:t>
            </w:r>
            <w:r w:rsidRPr="13D05368">
              <w:rPr>
                <w:rFonts w:eastAsia="Arial"/>
                <w:sz w:val="22"/>
              </w:rPr>
              <w:t> </w:t>
            </w:r>
          </w:p>
        </w:tc>
        <w:tc>
          <w:tcPr>
            <w:tcW w:w="1752" w:type="dxa"/>
            <w:tcBorders>
              <w:top w:val="nil"/>
              <w:left w:val="single" w:sz="6" w:space="0" w:color="auto"/>
              <w:bottom w:val="nil"/>
              <w:right w:val="nil"/>
            </w:tcBorders>
            <w:tcMar>
              <w:left w:w="105" w:type="dxa"/>
              <w:right w:w="105" w:type="dxa"/>
            </w:tcMar>
            <w:vAlign w:val="center"/>
          </w:tcPr>
          <w:p w14:paraId="65748E8C" w14:textId="3DBF889C" w:rsidR="13D05368" w:rsidRDefault="13D05368" w:rsidP="13D05368">
            <w:pPr>
              <w:spacing w:line="240" w:lineRule="auto"/>
              <w:jc w:val="center"/>
              <w:rPr>
                <w:rFonts w:eastAsia="Arial"/>
                <w:sz w:val="22"/>
              </w:rPr>
            </w:pPr>
            <w:r w:rsidRPr="13D05368">
              <w:rPr>
                <w:rFonts w:eastAsia="Arial"/>
                <w:sz w:val="22"/>
              </w:rPr>
              <w:t> </w:t>
            </w:r>
          </w:p>
        </w:tc>
        <w:tc>
          <w:tcPr>
            <w:tcW w:w="1752" w:type="dxa"/>
            <w:tcBorders>
              <w:top w:val="nil"/>
              <w:left w:val="nil"/>
              <w:bottom w:val="nil"/>
              <w:right w:val="nil"/>
            </w:tcBorders>
            <w:tcMar>
              <w:left w:w="105" w:type="dxa"/>
              <w:right w:w="105" w:type="dxa"/>
            </w:tcMar>
            <w:vAlign w:val="center"/>
          </w:tcPr>
          <w:p w14:paraId="7E9D5725" w14:textId="3ED0E98A" w:rsidR="13D05368" w:rsidRDefault="13D05368" w:rsidP="13D05368">
            <w:pPr>
              <w:spacing w:line="240" w:lineRule="auto"/>
              <w:jc w:val="center"/>
              <w:rPr>
                <w:rFonts w:eastAsia="Arial"/>
                <w:sz w:val="22"/>
              </w:rPr>
            </w:pPr>
            <w:r w:rsidRPr="13D05368">
              <w:rPr>
                <w:rFonts w:eastAsia="Arial"/>
                <w:sz w:val="22"/>
              </w:rPr>
              <w:t> </w:t>
            </w:r>
          </w:p>
        </w:tc>
        <w:tc>
          <w:tcPr>
            <w:tcW w:w="1778" w:type="dxa"/>
            <w:tcBorders>
              <w:top w:val="nil"/>
              <w:left w:val="nil"/>
              <w:bottom w:val="nil"/>
              <w:right w:val="nil"/>
            </w:tcBorders>
            <w:tcMar>
              <w:left w:w="105" w:type="dxa"/>
              <w:right w:w="105" w:type="dxa"/>
            </w:tcMar>
            <w:vAlign w:val="center"/>
          </w:tcPr>
          <w:p w14:paraId="16124572" w14:textId="316F7814" w:rsidR="13D05368" w:rsidRDefault="13D05368" w:rsidP="13D05368">
            <w:pPr>
              <w:spacing w:line="240" w:lineRule="auto"/>
              <w:jc w:val="center"/>
              <w:rPr>
                <w:rFonts w:eastAsia="Arial"/>
                <w:sz w:val="22"/>
              </w:rPr>
            </w:pPr>
            <w:r w:rsidRPr="13D05368">
              <w:rPr>
                <w:rFonts w:eastAsia="Arial"/>
                <w:sz w:val="22"/>
              </w:rPr>
              <w:t> </w:t>
            </w:r>
          </w:p>
        </w:tc>
      </w:tr>
      <w:tr w:rsidR="13D05368" w14:paraId="21E7B8C5" w14:textId="77777777" w:rsidTr="13D05368">
        <w:trPr>
          <w:trHeight w:val="300"/>
        </w:trPr>
        <w:tc>
          <w:tcPr>
            <w:tcW w:w="4078" w:type="dxa"/>
            <w:tcBorders>
              <w:top w:val="nil"/>
              <w:left w:val="nil"/>
              <w:bottom w:val="nil"/>
              <w:right w:val="single" w:sz="6" w:space="0" w:color="auto"/>
            </w:tcBorders>
            <w:tcMar>
              <w:left w:w="105" w:type="dxa"/>
              <w:right w:w="105" w:type="dxa"/>
            </w:tcMar>
            <w:vAlign w:val="center"/>
          </w:tcPr>
          <w:p w14:paraId="256B0C18" w14:textId="59D05DDE" w:rsidR="13D05368" w:rsidRDefault="13D05368" w:rsidP="13D05368">
            <w:pPr>
              <w:spacing w:line="240" w:lineRule="auto"/>
              <w:ind w:left="345"/>
              <w:rPr>
                <w:rFonts w:eastAsia="Arial"/>
                <w:sz w:val="22"/>
              </w:rPr>
            </w:pPr>
            <w:r w:rsidRPr="13D05368">
              <w:rPr>
                <w:rFonts w:eastAsia="Arial"/>
                <w:sz w:val="22"/>
              </w:rPr>
              <w:t>Female </w:t>
            </w:r>
          </w:p>
        </w:tc>
        <w:tc>
          <w:tcPr>
            <w:tcW w:w="1752" w:type="dxa"/>
            <w:tcBorders>
              <w:top w:val="nil"/>
              <w:left w:val="single" w:sz="6" w:space="0" w:color="auto"/>
              <w:bottom w:val="nil"/>
              <w:right w:val="nil"/>
            </w:tcBorders>
            <w:tcMar>
              <w:left w:w="105" w:type="dxa"/>
              <w:right w:w="105" w:type="dxa"/>
            </w:tcMar>
            <w:vAlign w:val="center"/>
          </w:tcPr>
          <w:p w14:paraId="5FB874F6" w14:textId="3FBA1DCE" w:rsidR="13D05368" w:rsidRDefault="13D05368" w:rsidP="13D05368">
            <w:pPr>
              <w:spacing w:line="240" w:lineRule="auto"/>
              <w:jc w:val="center"/>
              <w:rPr>
                <w:rFonts w:eastAsia="Arial"/>
                <w:sz w:val="22"/>
              </w:rPr>
            </w:pPr>
            <w:r w:rsidRPr="13D05368">
              <w:rPr>
                <w:rFonts w:eastAsia="Arial"/>
                <w:sz w:val="22"/>
              </w:rPr>
              <w:t>0.9 (0.7,1.1)</w:t>
            </w:r>
          </w:p>
        </w:tc>
        <w:tc>
          <w:tcPr>
            <w:tcW w:w="1752" w:type="dxa"/>
            <w:tcBorders>
              <w:top w:val="nil"/>
              <w:left w:val="nil"/>
              <w:bottom w:val="nil"/>
              <w:right w:val="nil"/>
            </w:tcBorders>
            <w:tcMar>
              <w:left w:w="105" w:type="dxa"/>
              <w:right w:w="105" w:type="dxa"/>
            </w:tcMar>
            <w:vAlign w:val="center"/>
          </w:tcPr>
          <w:p w14:paraId="67379B51" w14:textId="4F229405" w:rsidR="13D05368" w:rsidRDefault="13D05368" w:rsidP="13D05368">
            <w:pPr>
              <w:spacing w:line="240" w:lineRule="auto"/>
              <w:jc w:val="center"/>
              <w:rPr>
                <w:rFonts w:eastAsia="Arial"/>
                <w:sz w:val="22"/>
              </w:rPr>
            </w:pPr>
            <w:r w:rsidRPr="13D05368">
              <w:rPr>
                <w:rFonts w:eastAsia="Arial"/>
                <w:sz w:val="22"/>
              </w:rPr>
              <w:t>1.0 (0.8,1.3)</w:t>
            </w:r>
          </w:p>
        </w:tc>
        <w:tc>
          <w:tcPr>
            <w:tcW w:w="1778" w:type="dxa"/>
            <w:tcBorders>
              <w:top w:val="nil"/>
              <w:left w:val="nil"/>
              <w:bottom w:val="nil"/>
              <w:right w:val="nil"/>
            </w:tcBorders>
            <w:tcMar>
              <w:left w:w="105" w:type="dxa"/>
              <w:right w:w="105" w:type="dxa"/>
            </w:tcMar>
            <w:vAlign w:val="center"/>
          </w:tcPr>
          <w:p w14:paraId="01BCB678" w14:textId="7DD31DDA" w:rsidR="13D05368" w:rsidRDefault="13D05368" w:rsidP="13D05368">
            <w:pPr>
              <w:spacing w:line="240" w:lineRule="auto"/>
              <w:jc w:val="center"/>
              <w:rPr>
                <w:rFonts w:eastAsia="Arial"/>
                <w:sz w:val="22"/>
              </w:rPr>
            </w:pPr>
            <w:r w:rsidRPr="13D05368">
              <w:rPr>
                <w:rFonts w:eastAsia="Arial"/>
                <w:sz w:val="22"/>
              </w:rPr>
              <w:t>0.9 (0.7,1.2)</w:t>
            </w:r>
          </w:p>
        </w:tc>
      </w:tr>
      <w:tr w:rsidR="13D05368" w14:paraId="0B04815A" w14:textId="77777777" w:rsidTr="13D05368">
        <w:trPr>
          <w:trHeight w:val="300"/>
        </w:trPr>
        <w:tc>
          <w:tcPr>
            <w:tcW w:w="4078" w:type="dxa"/>
            <w:tcBorders>
              <w:top w:val="nil"/>
              <w:left w:val="nil"/>
              <w:bottom w:val="nil"/>
              <w:right w:val="single" w:sz="6" w:space="0" w:color="auto"/>
            </w:tcBorders>
            <w:tcMar>
              <w:left w:w="105" w:type="dxa"/>
              <w:right w:w="105" w:type="dxa"/>
            </w:tcMar>
            <w:vAlign w:val="center"/>
          </w:tcPr>
          <w:p w14:paraId="72749819" w14:textId="0CE7CE52" w:rsidR="13D05368" w:rsidRDefault="13D05368" w:rsidP="13D05368">
            <w:pPr>
              <w:spacing w:line="240" w:lineRule="auto"/>
              <w:rPr>
                <w:rFonts w:eastAsia="Arial"/>
                <w:sz w:val="22"/>
              </w:rPr>
            </w:pPr>
            <w:r w:rsidRPr="13D05368">
              <w:rPr>
                <w:rFonts w:eastAsia="Arial"/>
                <w:b/>
                <w:bCs/>
                <w:sz w:val="22"/>
              </w:rPr>
              <w:t>Age at Survey</w:t>
            </w:r>
            <w:r w:rsidRPr="13D05368">
              <w:rPr>
                <w:rFonts w:eastAsia="Arial"/>
                <w:sz w:val="22"/>
              </w:rPr>
              <w:t> </w:t>
            </w:r>
          </w:p>
        </w:tc>
        <w:tc>
          <w:tcPr>
            <w:tcW w:w="1752" w:type="dxa"/>
            <w:tcBorders>
              <w:top w:val="nil"/>
              <w:left w:val="single" w:sz="6" w:space="0" w:color="auto"/>
              <w:bottom w:val="nil"/>
              <w:right w:val="nil"/>
            </w:tcBorders>
            <w:tcMar>
              <w:left w:w="105" w:type="dxa"/>
              <w:right w:w="105" w:type="dxa"/>
            </w:tcMar>
            <w:vAlign w:val="center"/>
          </w:tcPr>
          <w:p w14:paraId="70045D38" w14:textId="7F4C5FA7" w:rsidR="13D05368" w:rsidRDefault="13D05368" w:rsidP="13D05368">
            <w:pPr>
              <w:spacing w:line="240" w:lineRule="auto"/>
              <w:jc w:val="center"/>
              <w:rPr>
                <w:rFonts w:eastAsia="Arial"/>
                <w:sz w:val="22"/>
              </w:rPr>
            </w:pPr>
            <w:r w:rsidRPr="13D05368">
              <w:rPr>
                <w:rFonts w:eastAsia="Arial"/>
                <w:sz w:val="22"/>
              </w:rPr>
              <w:t>1.0 (1.0,1.0)</w:t>
            </w:r>
          </w:p>
        </w:tc>
        <w:tc>
          <w:tcPr>
            <w:tcW w:w="1752" w:type="dxa"/>
            <w:tcBorders>
              <w:top w:val="nil"/>
              <w:left w:val="nil"/>
              <w:bottom w:val="nil"/>
              <w:right w:val="nil"/>
            </w:tcBorders>
            <w:tcMar>
              <w:left w:w="105" w:type="dxa"/>
              <w:right w:w="105" w:type="dxa"/>
            </w:tcMar>
            <w:vAlign w:val="center"/>
          </w:tcPr>
          <w:p w14:paraId="6F6C27D3" w14:textId="77563832" w:rsidR="13D05368" w:rsidRDefault="13D05368" w:rsidP="13D05368">
            <w:pPr>
              <w:spacing w:line="240" w:lineRule="auto"/>
              <w:jc w:val="center"/>
              <w:rPr>
                <w:rFonts w:eastAsia="Arial"/>
                <w:sz w:val="22"/>
              </w:rPr>
            </w:pPr>
            <w:r w:rsidRPr="13D05368">
              <w:rPr>
                <w:rFonts w:eastAsia="Arial"/>
                <w:sz w:val="22"/>
              </w:rPr>
              <w:t>1.0 (1.0,1.1)</w:t>
            </w:r>
          </w:p>
        </w:tc>
        <w:tc>
          <w:tcPr>
            <w:tcW w:w="1778" w:type="dxa"/>
            <w:tcBorders>
              <w:top w:val="nil"/>
              <w:left w:val="nil"/>
              <w:bottom w:val="nil"/>
              <w:right w:val="nil"/>
            </w:tcBorders>
            <w:tcMar>
              <w:left w:w="105" w:type="dxa"/>
              <w:right w:w="105" w:type="dxa"/>
            </w:tcMar>
            <w:vAlign w:val="center"/>
          </w:tcPr>
          <w:p w14:paraId="5640666E" w14:textId="18464AB6" w:rsidR="13D05368" w:rsidRDefault="13D05368" w:rsidP="13D05368">
            <w:pPr>
              <w:spacing w:line="240" w:lineRule="auto"/>
              <w:jc w:val="center"/>
              <w:rPr>
                <w:rFonts w:eastAsia="Arial"/>
                <w:sz w:val="22"/>
              </w:rPr>
            </w:pPr>
            <w:r w:rsidRPr="13D05368">
              <w:rPr>
                <w:rFonts w:eastAsia="Arial"/>
                <w:sz w:val="22"/>
              </w:rPr>
              <w:t>1.0 (1.0,1.1)</w:t>
            </w:r>
          </w:p>
        </w:tc>
      </w:tr>
      <w:tr w:rsidR="13D05368" w14:paraId="2EF45908" w14:textId="77777777" w:rsidTr="13D05368">
        <w:trPr>
          <w:trHeight w:val="300"/>
        </w:trPr>
        <w:tc>
          <w:tcPr>
            <w:tcW w:w="4078" w:type="dxa"/>
            <w:tcBorders>
              <w:top w:val="nil"/>
              <w:left w:val="nil"/>
              <w:bottom w:val="nil"/>
              <w:right w:val="single" w:sz="6" w:space="0" w:color="auto"/>
            </w:tcBorders>
            <w:tcMar>
              <w:left w:w="105" w:type="dxa"/>
              <w:right w:w="105" w:type="dxa"/>
            </w:tcMar>
            <w:vAlign w:val="center"/>
          </w:tcPr>
          <w:p w14:paraId="66CC9B29" w14:textId="533F8C8A" w:rsidR="13D05368" w:rsidRDefault="13D05368" w:rsidP="13D05368">
            <w:pPr>
              <w:spacing w:line="240" w:lineRule="auto"/>
              <w:rPr>
                <w:rFonts w:eastAsia="Arial"/>
                <w:sz w:val="22"/>
              </w:rPr>
            </w:pPr>
            <w:r w:rsidRPr="13D05368">
              <w:rPr>
                <w:rFonts w:eastAsia="Arial"/>
                <w:b/>
                <w:bCs/>
                <w:sz w:val="22"/>
              </w:rPr>
              <w:t>Needed to See a Medical Provider due to FA?</w:t>
            </w:r>
            <w:r w:rsidRPr="13D05368">
              <w:rPr>
                <w:rFonts w:eastAsia="Arial"/>
                <w:sz w:val="22"/>
              </w:rPr>
              <w:t> </w:t>
            </w:r>
          </w:p>
        </w:tc>
        <w:tc>
          <w:tcPr>
            <w:tcW w:w="1752" w:type="dxa"/>
            <w:tcBorders>
              <w:top w:val="nil"/>
              <w:left w:val="single" w:sz="6" w:space="0" w:color="auto"/>
              <w:bottom w:val="nil"/>
              <w:right w:val="nil"/>
            </w:tcBorders>
            <w:tcMar>
              <w:left w:w="105" w:type="dxa"/>
              <w:right w:w="105" w:type="dxa"/>
            </w:tcMar>
            <w:vAlign w:val="center"/>
          </w:tcPr>
          <w:p w14:paraId="49D28F24" w14:textId="6109D1BE" w:rsidR="13D05368" w:rsidRDefault="13D05368" w:rsidP="13D05368">
            <w:pPr>
              <w:spacing w:line="240" w:lineRule="auto"/>
              <w:jc w:val="center"/>
              <w:rPr>
                <w:rFonts w:eastAsia="Arial"/>
                <w:sz w:val="22"/>
              </w:rPr>
            </w:pPr>
            <w:r w:rsidRPr="13D05368">
              <w:rPr>
                <w:rFonts w:eastAsia="Arial"/>
                <w:sz w:val="22"/>
              </w:rPr>
              <w:t>2.5</w:t>
            </w:r>
            <w:r w:rsidRPr="13D05368">
              <w:rPr>
                <w:rFonts w:eastAsia="Arial"/>
                <w:sz w:val="22"/>
                <w:vertAlign w:val="superscript"/>
              </w:rPr>
              <w:t>***</w:t>
            </w:r>
            <w:r w:rsidRPr="13D05368">
              <w:rPr>
                <w:rFonts w:eastAsia="Arial"/>
                <w:sz w:val="22"/>
              </w:rPr>
              <w:t xml:space="preserve"> (1.6,3.7)</w:t>
            </w:r>
          </w:p>
        </w:tc>
        <w:tc>
          <w:tcPr>
            <w:tcW w:w="1752" w:type="dxa"/>
            <w:tcBorders>
              <w:top w:val="nil"/>
              <w:left w:val="nil"/>
              <w:bottom w:val="nil"/>
              <w:right w:val="nil"/>
            </w:tcBorders>
            <w:tcMar>
              <w:left w:w="105" w:type="dxa"/>
              <w:right w:w="105" w:type="dxa"/>
            </w:tcMar>
            <w:vAlign w:val="center"/>
          </w:tcPr>
          <w:p w14:paraId="78DC659E" w14:textId="49C77860" w:rsidR="13D05368" w:rsidRDefault="13D05368" w:rsidP="13D05368">
            <w:pPr>
              <w:spacing w:line="240" w:lineRule="auto"/>
              <w:jc w:val="center"/>
              <w:rPr>
                <w:rFonts w:eastAsia="Arial"/>
                <w:sz w:val="22"/>
              </w:rPr>
            </w:pPr>
            <w:r w:rsidRPr="13D05368">
              <w:rPr>
                <w:rFonts w:eastAsia="Arial"/>
                <w:sz w:val="22"/>
              </w:rPr>
              <w:t>1.6 (0.8,3.2)</w:t>
            </w:r>
          </w:p>
        </w:tc>
        <w:tc>
          <w:tcPr>
            <w:tcW w:w="1778" w:type="dxa"/>
            <w:tcBorders>
              <w:top w:val="nil"/>
              <w:left w:val="nil"/>
              <w:bottom w:val="nil"/>
              <w:right w:val="nil"/>
            </w:tcBorders>
            <w:tcMar>
              <w:left w:w="105" w:type="dxa"/>
              <w:right w:w="105" w:type="dxa"/>
            </w:tcMar>
            <w:vAlign w:val="center"/>
          </w:tcPr>
          <w:p w14:paraId="11C26A58" w14:textId="1A1080C3" w:rsidR="13D05368" w:rsidRDefault="13D05368" w:rsidP="13D05368">
            <w:pPr>
              <w:spacing w:line="240" w:lineRule="auto"/>
              <w:jc w:val="center"/>
              <w:rPr>
                <w:rFonts w:eastAsia="Arial"/>
                <w:sz w:val="22"/>
              </w:rPr>
            </w:pPr>
            <w:r w:rsidRPr="13D05368">
              <w:rPr>
                <w:rFonts w:eastAsia="Arial"/>
                <w:sz w:val="22"/>
              </w:rPr>
              <w:t>1.8 (0.8,3.9)</w:t>
            </w:r>
          </w:p>
        </w:tc>
      </w:tr>
      <w:tr w:rsidR="13D05368" w14:paraId="0EE25757" w14:textId="77777777" w:rsidTr="13D05368">
        <w:trPr>
          <w:trHeight w:val="300"/>
        </w:trPr>
        <w:tc>
          <w:tcPr>
            <w:tcW w:w="4078" w:type="dxa"/>
            <w:tcBorders>
              <w:top w:val="nil"/>
              <w:left w:val="nil"/>
              <w:bottom w:val="nil"/>
              <w:right w:val="single" w:sz="6" w:space="0" w:color="auto"/>
            </w:tcBorders>
            <w:tcMar>
              <w:left w:w="105" w:type="dxa"/>
              <w:right w:w="105" w:type="dxa"/>
            </w:tcMar>
            <w:vAlign w:val="center"/>
          </w:tcPr>
          <w:p w14:paraId="2B6E90D3" w14:textId="49F5AC25" w:rsidR="13D05368" w:rsidRDefault="13D05368" w:rsidP="13D05368">
            <w:pPr>
              <w:spacing w:line="240" w:lineRule="auto"/>
              <w:rPr>
                <w:rFonts w:eastAsia="Arial"/>
                <w:sz w:val="22"/>
              </w:rPr>
            </w:pPr>
            <w:r w:rsidRPr="13D05368">
              <w:rPr>
                <w:rFonts w:eastAsia="Arial"/>
                <w:b/>
                <w:bCs/>
                <w:sz w:val="22"/>
              </w:rPr>
              <w:t>Needed to See a Mental Health Provider due to FA?</w:t>
            </w:r>
            <w:r w:rsidRPr="13D05368">
              <w:rPr>
                <w:rFonts w:eastAsia="Arial"/>
                <w:sz w:val="22"/>
              </w:rPr>
              <w:t> </w:t>
            </w:r>
          </w:p>
        </w:tc>
        <w:tc>
          <w:tcPr>
            <w:tcW w:w="1752" w:type="dxa"/>
            <w:tcBorders>
              <w:top w:val="nil"/>
              <w:left w:val="single" w:sz="6" w:space="0" w:color="auto"/>
              <w:bottom w:val="nil"/>
              <w:right w:val="nil"/>
            </w:tcBorders>
            <w:tcMar>
              <w:left w:w="105" w:type="dxa"/>
              <w:right w:w="105" w:type="dxa"/>
            </w:tcMar>
            <w:vAlign w:val="center"/>
          </w:tcPr>
          <w:p w14:paraId="3C3B71B1" w14:textId="1B0CE705" w:rsidR="13D05368" w:rsidRDefault="13D05368" w:rsidP="13D05368">
            <w:pPr>
              <w:spacing w:line="240" w:lineRule="auto"/>
              <w:jc w:val="center"/>
              <w:rPr>
                <w:rFonts w:eastAsia="Arial"/>
                <w:sz w:val="22"/>
              </w:rPr>
            </w:pPr>
            <w:r w:rsidRPr="13D05368">
              <w:rPr>
                <w:rFonts w:eastAsia="Arial"/>
                <w:sz w:val="22"/>
              </w:rPr>
              <w:t>1.5 (0.7,3.5)</w:t>
            </w:r>
          </w:p>
        </w:tc>
        <w:tc>
          <w:tcPr>
            <w:tcW w:w="1752" w:type="dxa"/>
            <w:tcBorders>
              <w:top w:val="nil"/>
              <w:left w:val="nil"/>
              <w:bottom w:val="nil"/>
              <w:right w:val="nil"/>
            </w:tcBorders>
            <w:tcMar>
              <w:left w:w="105" w:type="dxa"/>
              <w:right w:w="105" w:type="dxa"/>
            </w:tcMar>
            <w:vAlign w:val="center"/>
          </w:tcPr>
          <w:p w14:paraId="0C357548" w14:textId="23517FC4" w:rsidR="13D05368" w:rsidRDefault="13D05368" w:rsidP="13D05368">
            <w:pPr>
              <w:spacing w:line="240" w:lineRule="auto"/>
              <w:jc w:val="center"/>
              <w:rPr>
                <w:rFonts w:eastAsia="Arial"/>
                <w:sz w:val="22"/>
              </w:rPr>
            </w:pPr>
            <w:r w:rsidRPr="13D05368">
              <w:rPr>
                <w:rFonts w:eastAsia="Arial"/>
                <w:sz w:val="22"/>
              </w:rPr>
              <w:t>1.9 (0.8,4.6)</w:t>
            </w:r>
          </w:p>
        </w:tc>
        <w:tc>
          <w:tcPr>
            <w:tcW w:w="1778" w:type="dxa"/>
            <w:tcBorders>
              <w:top w:val="nil"/>
              <w:left w:val="nil"/>
              <w:bottom w:val="nil"/>
              <w:right w:val="nil"/>
            </w:tcBorders>
            <w:tcMar>
              <w:left w:w="105" w:type="dxa"/>
              <w:right w:w="105" w:type="dxa"/>
            </w:tcMar>
            <w:vAlign w:val="center"/>
          </w:tcPr>
          <w:p w14:paraId="60D75825" w14:textId="525BFF66" w:rsidR="13D05368" w:rsidRDefault="13D05368" w:rsidP="13D05368">
            <w:pPr>
              <w:spacing w:line="240" w:lineRule="auto"/>
              <w:jc w:val="center"/>
              <w:rPr>
                <w:rFonts w:eastAsia="Arial"/>
                <w:sz w:val="22"/>
              </w:rPr>
            </w:pPr>
            <w:r w:rsidRPr="13D05368">
              <w:rPr>
                <w:rFonts w:eastAsia="Arial"/>
                <w:sz w:val="22"/>
              </w:rPr>
              <w:t>1.1 (0.3,5.0)</w:t>
            </w:r>
          </w:p>
        </w:tc>
      </w:tr>
      <w:tr w:rsidR="13D05368" w14:paraId="20928901" w14:textId="77777777" w:rsidTr="13D05368">
        <w:trPr>
          <w:trHeight w:val="300"/>
        </w:trPr>
        <w:tc>
          <w:tcPr>
            <w:tcW w:w="4078" w:type="dxa"/>
            <w:tcBorders>
              <w:top w:val="nil"/>
              <w:left w:val="nil"/>
              <w:bottom w:val="nil"/>
              <w:right w:val="single" w:sz="6" w:space="0" w:color="auto"/>
            </w:tcBorders>
            <w:tcMar>
              <w:left w:w="105" w:type="dxa"/>
              <w:right w:w="105" w:type="dxa"/>
            </w:tcMar>
            <w:vAlign w:val="center"/>
          </w:tcPr>
          <w:p w14:paraId="4EE4ADB0" w14:textId="20863A75" w:rsidR="13D05368" w:rsidRDefault="13D05368" w:rsidP="13D05368">
            <w:pPr>
              <w:spacing w:line="240" w:lineRule="auto"/>
              <w:rPr>
                <w:rFonts w:eastAsia="Arial"/>
                <w:sz w:val="22"/>
              </w:rPr>
            </w:pPr>
            <w:r w:rsidRPr="13D05368">
              <w:rPr>
                <w:rFonts w:eastAsia="Arial"/>
                <w:b/>
                <w:bCs/>
                <w:sz w:val="22"/>
              </w:rPr>
              <w:t>Needed to See a Nutrition Provider due to FA?</w:t>
            </w:r>
            <w:r w:rsidRPr="13D05368">
              <w:rPr>
                <w:rFonts w:eastAsia="Arial"/>
                <w:sz w:val="22"/>
              </w:rPr>
              <w:t> </w:t>
            </w:r>
          </w:p>
        </w:tc>
        <w:tc>
          <w:tcPr>
            <w:tcW w:w="1752" w:type="dxa"/>
            <w:tcBorders>
              <w:top w:val="nil"/>
              <w:left w:val="single" w:sz="6" w:space="0" w:color="auto"/>
              <w:bottom w:val="nil"/>
              <w:right w:val="nil"/>
            </w:tcBorders>
            <w:tcMar>
              <w:left w:w="105" w:type="dxa"/>
              <w:right w:w="105" w:type="dxa"/>
            </w:tcMar>
            <w:vAlign w:val="center"/>
          </w:tcPr>
          <w:p w14:paraId="1686508C" w14:textId="7ED90CBA" w:rsidR="13D05368" w:rsidRDefault="13D05368" w:rsidP="13D05368">
            <w:pPr>
              <w:spacing w:line="240" w:lineRule="auto"/>
              <w:jc w:val="center"/>
              <w:rPr>
                <w:rFonts w:eastAsia="Arial"/>
                <w:sz w:val="22"/>
              </w:rPr>
            </w:pPr>
            <w:r w:rsidRPr="13D05368">
              <w:rPr>
                <w:rFonts w:eastAsia="Arial"/>
                <w:sz w:val="22"/>
              </w:rPr>
              <w:t>2.7</w:t>
            </w:r>
            <w:r w:rsidRPr="13D05368">
              <w:rPr>
                <w:rFonts w:eastAsia="Arial"/>
                <w:sz w:val="22"/>
                <w:vertAlign w:val="superscript"/>
              </w:rPr>
              <w:t>*</w:t>
            </w:r>
            <w:r w:rsidRPr="13D05368">
              <w:rPr>
                <w:rFonts w:eastAsia="Arial"/>
                <w:sz w:val="22"/>
              </w:rPr>
              <w:t xml:space="preserve"> (1.1,6.7)</w:t>
            </w:r>
          </w:p>
        </w:tc>
        <w:tc>
          <w:tcPr>
            <w:tcW w:w="1752" w:type="dxa"/>
            <w:tcBorders>
              <w:top w:val="nil"/>
              <w:left w:val="nil"/>
              <w:bottom w:val="nil"/>
              <w:right w:val="nil"/>
            </w:tcBorders>
            <w:tcMar>
              <w:left w:w="105" w:type="dxa"/>
              <w:right w:w="105" w:type="dxa"/>
            </w:tcMar>
            <w:vAlign w:val="center"/>
          </w:tcPr>
          <w:p w14:paraId="31998824" w14:textId="47CE3256" w:rsidR="13D05368" w:rsidRDefault="13D05368" w:rsidP="13D05368">
            <w:pPr>
              <w:spacing w:line="240" w:lineRule="auto"/>
              <w:jc w:val="center"/>
              <w:rPr>
                <w:rFonts w:eastAsia="Arial"/>
                <w:sz w:val="22"/>
              </w:rPr>
            </w:pPr>
            <w:r w:rsidRPr="13D05368">
              <w:rPr>
                <w:rFonts w:eastAsia="Arial"/>
                <w:sz w:val="22"/>
              </w:rPr>
              <w:t>0.4 (0.1,1.1)</w:t>
            </w:r>
          </w:p>
        </w:tc>
        <w:tc>
          <w:tcPr>
            <w:tcW w:w="1778" w:type="dxa"/>
            <w:tcBorders>
              <w:top w:val="nil"/>
              <w:left w:val="nil"/>
              <w:bottom w:val="nil"/>
              <w:right w:val="nil"/>
            </w:tcBorders>
            <w:tcMar>
              <w:left w:w="105" w:type="dxa"/>
              <w:right w:w="105" w:type="dxa"/>
            </w:tcMar>
            <w:vAlign w:val="center"/>
          </w:tcPr>
          <w:p w14:paraId="69FA8BEB" w14:textId="70A58483" w:rsidR="13D05368" w:rsidRDefault="13D05368" w:rsidP="13D05368">
            <w:pPr>
              <w:spacing w:line="240" w:lineRule="auto"/>
              <w:jc w:val="center"/>
              <w:rPr>
                <w:rFonts w:eastAsia="Arial"/>
                <w:sz w:val="22"/>
              </w:rPr>
            </w:pPr>
            <w:r w:rsidRPr="13D05368">
              <w:rPr>
                <w:rFonts w:eastAsia="Arial"/>
                <w:sz w:val="22"/>
              </w:rPr>
              <w:t>1.9 (0.5,7.6)</w:t>
            </w:r>
          </w:p>
        </w:tc>
      </w:tr>
      <w:tr w:rsidR="13D05368" w14:paraId="3182EB40" w14:textId="77777777" w:rsidTr="13D05368">
        <w:trPr>
          <w:trHeight w:val="300"/>
        </w:trPr>
        <w:tc>
          <w:tcPr>
            <w:tcW w:w="4078" w:type="dxa"/>
            <w:tcBorders>
              <w:top w:val="nil"/>
              <w:left w:val="nil"/>
              <w:bottom w:val="nil"/>
              <w:right w:val="single" w:sz="6" w:space="0" w:color="auto"/>
            </w:tcBorders>
            <w:tcMar>
              <w:left w:w="105" w:type="dxa"/>
              <w:right w:w="105" w:type="dxa"/>
            </w:tcMar>
            <w:vAlign w:val="center"/>
          </w:tcPr>
          <w:p w14:paraId="5C1FA46E" w14:textId="36DBA0ED" w:rsidR="13D05368" w:rsidRDefault="13D05368" w:rsidP="13D05368">
            <w:pPr>
              <w:spacing w:line="240" w:lineRule="auto"/>
              <w:rPr>
                <w:rFonts w:eastAsia="Arial"/>
                <w:sz w:val="22"/>
              </w:rPr>
            </w:pPr>
            <w:r w:rsidRPr="13D05368">
              <w:rPr>
                <w:rFonts w:eastAsia="Arial"/>
                <w:b/>
                <w:bCs/>
                <w:sz w:val="22"/>
              </w:rPr>
              <w:t>Number of Unique FAs</w:t>
            </w:r>
          </w:p>
        </w:tc>
        <w:tc>
          <w:tcPr>
            <w:tcW w:w="1752" w:type="dxa"/>
            <w:tcBorders>
              <w:top w:val="nil"/>
              <w:left w:val="single" w:sz="6" w:space="0" w:color="auto"/>
              <w:bottom w:val="nil"/>
              <w:right w:val="nil"/>
            </w:tcBorders>
            <w:tcMar>
              <w:left w:w="105" w:type="dxa"/>
              <w:right w:w="105" w:type="dxa"/>
            </w:tcMar>
            <w:vAlign w:val="center"/>
          </w:tcPr>
          <w:p w14:paraId="0EB28A21" w14:textId="6BDADB09" w:rsidR="13D05368" w:rsidRDefault="13D05368" w:rsidP="13D05368">
            <w:pPr>
              <w:spacing w:line="240" w:lineRule="auto"/>
              <w:jc w:val="center"/>
              <w:rPr>
                <w:rFonts w:eastAsia="Arial"/>
                <w:sz w:val="22"/>
              </w:rPr>
            </w:pPr>
            <w:r w:rsidRPr="13D05368">
              <w:rPr>
                <w:rFonts w:eastAsia="Arial"/>
                <w:sz w:val="22"/>
              </w:rPr>
              <w:t>1.2</w:t>
            </w:r>
            <w:r w:rsidRPr="13D05368">
              <w:rPr>
                <w:rFonts w:eastAsia="Arial"/>
                <w:sz w:val="22"/>
                <w:vertAlign w:val="superscript"/>
              </w:rPr>
              <w:t>**</w:t>
            </w:r>
            <w:r w:rsidRPr="13D05368">
              <w:rPr>
                <w:rFonts w:eastAsia="Arial"/>
                <w:sz w:val="22"/>
              </w:rPr>
              <w:t xml:space="preserve"> (1.1,1.4)</w:t>
            </w:r>
          </w:p>
        </w:tc>
        <w:tc>
          <w:tcPr>
            <w:tcW w:w="1752" w:type="dxa"/>
            <w:tcBorders>
              <w:top w:val="nil"/>
              <w:left w:val="nil"/>
              <w:bottom w:val="nil"/>
              <w:right w:val="nil"/>
            </w:tcBorders>
            <w:tcMar>
              <w:left w:w="105" w:type="dxa"/>
              <w:right w:w="105" w:type="dxa"/>
            </w:tcMar>
            <w:vAlign w:val="center"/>
          </w:tcPr>
          <w:p w14:paraId="719BF609" w14:textId="48DA3935" w:rsidR="13D05368" w:rsidRDefault="13D05368" w:rsidP="13D05368">
            <w:pPr>
              <w:spacing w:line="240" w:lineRule="auto"/>
              <w:jc w:val="center"/>
              <w:rPr>
                <w:rFonts w:eastAsia="Arial"/>
                <w:sz w:val="22"/>
              </w:rPr>
            </w:pPr>
            <w:r w:rsidRPr="13D05368">
              <w:rPr>
                <w:rFonts w:eastAsia="Arial"/>
                <w:sz w:val="22"/>
              </w:rPr>
              <w:t>1.0 (0.9,1.1)</w:t>
            </w:r>
          </w:p>
        </w:tc>
        <w:tc>
          <w:tcPr>
            <w:tcW w:w="1778" w:type="dxa"/>
            <w:tcBorders>
              <w:top w:val="nil"/>
              <w:left w:val="nil"/>
              <w:bottom w:val="nil"/>
              <w:right w:val="nil"/>
            </w:tcBorders>
            <w:tcMar>
              <w:left w:w="105" w:type="dxa"/>
              <w:right w:w="105" w:type="dxa"/>
            </w:tcMar>
            <w:vAlign w:val="center"/>
          </w:tcPr>
          <w:p w14:paraId="3CA88E0E" w14:textId="44677C2C" w:rsidR="13D05368" w:rsidRDefault="13D05368" w:rsidP="13D05368">
            <w:pPr>
              <w:spacing w:line="240" w:lineRule="auto"/>
              <w:jc w:val="center"/>
              <w:rPr>
                <w:rFonts w:eastAsia="Arial"/>
                <w:sz w:val="22"/>
              </w:rPr>
            </w:pPr>
            <w:r w:rsidRPr="13D05368">
              <w:rPr>
                <w:rFonts w:eastAsia="Arial"/>
                <w:sz w:val="22"/>
              </w:rPr>
              <w:t>1.3</w:t>
            </w:r>
            <w:r w:rsidRPr="13D05368">
              <w:rPr>
                <w:rFonts w:eastAsia="Arial"/>
                <w:sz w:val="22"/>
                <w:vertAlign w:val="superscript"/>
              </w:rPr>
              <w:t>***</w:t>
            </w:r>
            <w:r w:rsidRPr="13D05368">
              <w:rPr>
                <w:rFonts w:eastAsia="Arial"/>
                <w:sz w:val="22"/>
              </w:rPr>
              <w:t xml:space="preserve"> (1.1,1.4)</w:t>
            </w:r>
          </w:p>
        </w:tc>
      </w:tr>
    </w:tbl>
    <w:p w14:paraId="3A4745FF" w14:textId="72C2BF03" w:rsidR="004A351F" w:rsidRDefault="004A351F" w:rsidP="13D05368">
      <w:pPr>
        <w:rPr>
          <w:rFonts w:eastAsia="Arial"/>
          <w:color w:val="000000" w:themeColor="text1"/>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65"/>
        <w:gridCol w:w="1805"/>
        <w:gridCol w:w="1738"/>
        <w:gridCol w:w="1752"/>
      </w:tblGrid>
      <w:tr w:rsidR="13D05368" w14:paraId="3C793D84" w14:textId="77777777" w:rsidTr="13D05368">
        <w:trPr>
          <w:trHeight w:val="300"/>
        </w:trPr>
        <w:tc>
          <w:tcPr>
            <w:tcW w:w="4065" w:type="dxa"/>
            <w:tcBorders>
              <w:top w:val="nil"/>
              <w:left w:val="nil"/>
              <w:bottom w:val="single" w:sz="6" w:space="0" w:color="auto"/>
              <w:right w:val="single" w:sz="6" w:space="0" w:color="auto"/>
            </w:tcBorders>
            <w:tcMar>
              <w:left w:w="105" w:type="dxa"/>
              <w:right w:w="105" w:type="dxa"/>
            </w:tcMar>
            <w:vAlign w:val="center"/>
          </w:tcPr>
          <w:p w14:paraId="1153A2A9" w14:textId="2A3A90B3" w:rsidR="13D05368" w:rsidRDefault="13D05368" w:rsidP="13D05368">
            <w:pPr>
              <w:spacing w:line="240" w:lineRule="auto"/>
              <w:rPr>
                <w:rFonts w:eastAsia="Arial"/>
                <w:sz w:val="22"/>
              </w:rPr>
            </w:pPr>
            <w:r w:rsidRPr="13D05368">
              <w:rPr>
                <w:rFonts w:eastAsia="Arial"/>
                <w:b/>
                <w:bCs/>
                <w:sz w:val="22"/>
              </w:rPr>
              <w:t>GLM Model for Total Cost (USD, 95% CI)</w:t>
            </w:r>
            <w:r w:rsidRPr="13D05368">
              <w:rPr>
                <w:rFonts w:eastAsia="Arial"/>
                <w:sz w:val="22"/>
              </w:rPr>
              <w:t> </w:t>
            </w:r>
          </w:p>
        </w:tc>
        <w:tc>
          <w:tcPr>
            <w:tcW w:w="1805" w:type="dxa"/>
            <w:tcBorders>
              <w:top w:val="nil"/>
              <w:left w:val="single" w:sz="6" w:space="0" w:color="auto"/>
              <w:bottom w:val="single" w:sz="6" w:space="0" w:color="auto"/>
              <w:right w:val="nil"/>
            </w:tcBorders>
            <w:tcMar>
              <w:left w:w="105" w:type="dxa"/>
              <w:right w:w="105" w:type="dxa"/>
            </w:tcMar>
            <w:vAlign w:val="center"/>
          </w:tcPr>
          <w:p w14:paraId="37106C92" w14:textId="12488C68" w:rsidR="13D05368" w:rsidRDefault="13D05368" w:rsidP="13D05368">
            <w:pPr>
              <w:spacing w:line="240" w:lineRule="auto"/>
              <w:jc w:val="center"/>
              <w:rPr>
                <w:rFonts w:eastAsia="Arial"/>
                <w:sz w:val="22"/>
              </w:rPr>
            </w:pPr>
            <w:r w:rsidRPr="13D05368">
              <w:rPr>
                <w:rFonts w:eastAsia="Arial"/>
                <w:b/>
                <w:bCs/>
                <w:sz w:val="22"/>
              </w:rPr>
              <w:t>Annualized Diet Costs</w:t>
            </w:r>
            <w:r w:rsidRPr="13D05368">
              <w:rPr>
                <w:rFonts w:eastAsia="Arial"/>
                <w:sz w:val="22"/>
              </w:rPr>
              <w:t> </w:t>
            </w:r>
          </w:p>
        </w:tc>
        <w:tc>
          <w:tcPr>
            <w:tcW w:w="1738" w:type="dxa"/>
            <w:tcBorders>
              <w:top w:val="nil"/>
              <w:left w:val="nil"/>
              <w:bottom w:val="single" w:sz="6" w:space="0" w:color="auto"/>
              <w:right w:val="nil"/>
            </w:tcBorders>
            <w:tcMar>
              <w:left w:w="105" w:type="dxa"/>
              <w:right w:w="105" w:type="dxa"/>
            </w:tcMar>
            <w:vAlign w:val="center"/>
          </w:tcPr>
          <w:p w14:paraId="2938CE7F" w14:textId="4FD75589" w:rsidR="13D05368" w:rsidRDefault="13D05368" w:rsidP="13D05368">
            <w:pPr>
              <w:spacing w:line="240" w:lineRule="auto"/>
              <w:jc w:val="center"/>
              <w:rPr>
                <w:rFonts w:eastAsia="Arial"/>
                <w:sz w:val="22"/>
              </w:rPr>
            </w:pPr>
            <w:r w:rsidRPr="13D05368">
              <w:rPr>
                <w:rFonts w:eastAsia="Arial"/>
                <w:b/>
                <w:bCs/>
                <w:sz w:val="22"/>
              </w:rPr>
              <w:t>Annualized Epinephrine Costs</w:t>
            </w:r>
            <w:r w:rsidRPr="13D05368">
              <w:rPr>
                <w:rFonts w:eastAsia="Arial"/>
                <w:sz w:val="22"/>
              </w:rPr>
              <w:t> </w:t>
            </w:r>
          </w:p>
        </w:tc>
        <w:tc>
          <w:tcPr>
            <w:tcW w:w="1752" w:type="dxa"/>
            <w:tcBorders>
              <w:top w:val="nil"/>
              <w:left w:val="nil"/>
              <w:bottom w:val="single" w:sz="6" w:space="0" w:color="auto"/>
              <w:right w:val="nil"/>
            </w:tcBorders>
            <w:tcMar>
              <w:left w:w="105" w:type="dxa"/>
              <w:right w:w="105" w:type="dxa"/>
            </w:tcMar>
            <w:vAlign w:val="center"/>
          </w:tcPr>
          <w:p w14:paraId="37495E9B" w14:textId="52C16BD6" w:rsidR="13D05368" w:rsidRDefault="13D05368" w:rsidP="13D05368">
            <w:pPr>
              <w:spacing w:line="240" w:lineRule="auto"/>
              <w:jc w:val="center"/>
              <w:rPr>
                <w:rFonts w:eastAsia="Arial"/>
                <w:sz w:val="22"/>
              </w:rPr>
            </w:pPr>
            <w:r w:rsidRPr="13D05368">
              <w:rPr>
                <w:rFonts w:eastAsia="Arial"/>
                <w:b/>
                <w:bCs/>
                <w:sz w:val="22"/>
              </w:rPr>
              <w:t>Annualized Antihistamine Costs</w:t>
            </w:r>
            <w:r w:rsidRPr="13D05368">
              <w:rPr>
                <w:rFonts w:eastAsia="Arial"/>
                <w:sz w:val="22"/>
              </w:rPr>
              <w:t> </w:t>
            </w:r>
          </w:p>
        </w:tc>
      </w:tr>
      <w:tr w:rsidR="13D05368" w14:paraId="477FF513" w14:textId="77777777" w:rsidTr="13D05368">
        <w:trPr>
          <w:trHeight w:val="300"/>
        </w:trPr>
        <w:tc>
          <w:tcPr>
            <w:tcW w:w="4065" w:type="dxa"/>
            <w:tcBorders>
              <w:top w:val="single" w:sz="6" w:space="0" w:color="auto"/>
              <w:left w:val="nil"/>
              <w:bottom w:val="nil"/>
              <w:right w:val="single" w:sz="6" w:space="0" w:color="auto"/>
            </w:tcBorders>
            <w:tcMar>
              <w:left w:w="105" w:type="dxa"/>
              <w:right w:w="105" w:type="dxa"/>
            </w:tcMar>
            <w:vAlign w:val="center"/>
          </w:tcPr>
          <w:p w14:paraId="6491462C" w14:textId="06D96EBC" w:rsidR="13D05368" w:rsidRDefault="13D05368" w:rsidP="13D05368">
            <w:pPr>
              <w:spacing w:line="240" w:lineRule="auto"/>
              <w:rPr>
                <w:rFonts w:eastAsia="Arial"/>
                <w:sz w:val="22"/>
              </w:rPr>
            </w:pPr>
            <w:r w:rsidRPr="13D05368">
              <w:rPr>
                <w:rFonts w:eastAsia="Arial"/>
                <w:b/>
                <w:bCs/>
                <w:sz w:val="22"/>
              </w:rPr>
              <w:t>Household Income (Ref: &lt;$100k)</w:t>
            </w:r>
            <w:r w:rsidRPr="13D05368">
              <w:rPr>
                <w:rFonts w:eastAsia="Arial"/>
                <w:sz w:val="22"/>
              </w:rPr>
              <w:t> </w:t>
            </w:r>
          </w:p>
        </w:tc>
        <w:tc>
          <w:tcPr>
            <w:tcW w:w="1805" w:type="dxa"/>
            <w:tcBorders>
              <w:top w:val="single" w:sz="6" w:space="0" w:color="auto"/>
              <w:left w:val="single" w:sz="6" w:space="0" w:color="auto"/>
              <w:bottom w:val="nil"/>
              <w:right w:val="nil"/>
            </w:tcBorders>
            <w:tcMar>
              <w:left w:w="105" w:type="dxa"/>
              <w:right w:w="105" w:type="dxa"/>
            </w:tcMar>
            <w:vAlign w:val="center"/>
          </w:tcPr>
          <w:p w14:paraId="52CDD10C" w14:textId="7FA4DECB" w:rsidR="13D05368" w:rsidRDefault="13D05368" w:rsidP="13D05368">
            <w:pPr>
              <w:spacing w:line="240" w:lineRule="auto"/>
              <w:jc w:val="center"/>
              <w:rPr>
                <w:rFonts w:eastAsia="Arial"/>
                <w:sz w:val="22"/>
              </w:rPr>
            </w:pPr>
            <w:r w:rsidRPr="13D05368">
              <w:rPr>
                <w:rFonts w:eastAsia="Arial"/>
                <w:sz w:val="22"/>
              </w:rPr>
              <w:t> </w:t>
            </w:r>
          </w:p>
        </w:tc>
        <w:tc>
          <w:tcPr>
            <w:tcW w:w="1738" w:type="dxa"/>
            <w:tcBorders>
              <w:top w:val="single" w:sz="6" w:space="0" w:color="auto"/>
              <w:left w:val="nil"/>
              <w:bottom w:val="nil"/>
              <w:right w:val="nil"/>
            </w:tcBorders>
            <w:tcMar>
              <w:left w:w="105" w:type="dxa"/>
              <w:right w:w="105" w:type="dxa"/>
            </w:tcMar>
            <w:vAlign w:val="center"/>
          </w:tcPr>
          <w:p w14:paraId="063D1FAC" w14:textId="24032DA7" w:rsidR="13D05368" w:rsidRDefault="13D05368" w:rsidP="13D05368">
            <w:pPr>
              <w:spacing w:line="240" w:lineRule="auto"/>
              <w:jc w:val="center"/>
              <w:rPr>
                <w:rFonts w:eastAsia="Arial"/>
                <w:sz w:val="22"/>
              </w:rPr>
            </w:pPr>
            <w:r w:rsidRPr="13D05368">
              <w:rPr>
                <w:rFonts w:eastAsia="Arial"/>
                <w:sz w:val="22"/>
              </w:rPr>
              <w:t> </w:t>
            </w:r>
          </w:p>
        </w:tc>
        <w:tc>
          <w:tcPr>
            <w:tcW w:w="1752" w:type="dxa"/>
            <w:tcBorders>
              <w:top w:val="single" w:sz="6" w:space="0" w:color="auto"/>
              <w:left w:val="nil"/>
              <w:bottom w:val="nil"/>
              <w:right w:val="nil"/>
            </w:tcBorders>
            <w:tcMar>
              <w:left w:w="105" w:type="dxa"/>
              <w:right w:w="105" w:type="dxa"/>
            </w:tcMar>
            <w:vAlign w:val="center"/>
          </w:tcPr>
          <w:p w14:paraId="17E3D64B" w14:textId="502308CC" w:rsidR="13D05368" w:rsidRDefault="13D05368" w:rsidP="13D05368">
            <w:pPr>
              <w:spacing w:line="240" w:lineRule="auto"/>
              <w:jc w:val="center"/>
              <w:rPr>
                <w:rFonts w:eastAsia="Arial"/>
                <w:sz w:val="22"/>
              </w:rPr>
            </w:pPr>
            <w:r w:rsidRPr="13D05368">
              <w:rPr>
                <w:rFonts w:eastAsia="Arial"/>
                <w:sz w:val="22"/>
              </w:rPr>
              <w:t> </w:t>
            </w:r>
          </w:p>
        </w:tc>
      </w:tr>
      <w:tr w:rsidR="13D05368" w14:paraId="7491201F" w14:textId="77777777" w:rsidTr="13D05368">
        <w:trPr>
          <w:trHeight w:val="300"/>
        </w:trPr>
        <w:tc>
          <w:tcPr>
            <w:tcW w:w="4065" w:type="dxa"/>
            <w:tcBorders>
              <w:top w:val="nil"/>
              <w:left w:val="nil"/>
              <w:bottom w:val="nil"/>
              <w:right w:val="single" w:sz="6" w:space="0" w:color="auto"/>
            </w:tcBorders>
            <w:tcMar>
              <w:left w:w="105" w:type="dxa"/>
              <w:right w:w="105" w:type="dxa"/>
            </w:tcMar>
            <w:vAlign w:val="center"/>
          </w:tcPr>
          <w:p w14:paraId="548A12BE" w14:textId="0B03A777" w:rsidR="13D05368" w:rsidRDefault="13D05368" w:rsidP="13D05368">
            <w:pPr>
              <w:spacing w:line="240" w:lineRule="auto"/>
              <w:ind w:left="345" w:right="-120"/>
              <w:rPr>
                <w:rFonts w:eastAsia="Arial"/>
                <w:sz w:val="22"/>
              </w:rPr>
            </w:pPr>
            <w:r w:rsidRPr="13D05368">
              <w:rPr>
                <w:rFonts w:eastAsia="Arial"/>
                <w:sz w:val="22"/>
              </w:rPr>
              <w:t>$100k-200k </w:t>
            </w:r>
          </w:p>
        </w:tc>
        <w:tc>
          <w:tcPr>
            <w:tcW w:w="1805" w:type="dxa"/>
            <w:tcBorders>
              <w:top w:val="nil"/>
              <w:left w:val="single" w:sz="6" w:space="0" w:color="auto"/>
              <w:bottom w:val="nil"/>
              <w:right w:val="nil"/>
            </w:tcBorders>
            <w:tcMar>
              <w:left w:w="105" w:type="dxa"/>
              <w:right w:w="105" w:type="dxa"/>
            </w:tcMar>
            <w:vAlign w:val="center"/>
          </w:tcPr>
          <w:p w14:paraId="6BA379EC" w14:textId="0D7EFBE5" w:rsidR="13D05368" w:rsidRDefault="13D05368" w:rsidP="13D05368">
            <w:pPr>
              <w:spacing w:line="240" w:lineRule="auto"/>
              <w:jc w:val="center"/>
              <w:rPr>
                <w:rFonts w:eastAsia="Arial"/>
                <w:sz w:val="22"/>
              </w:rPr>
            </w:pPr>
            <w:r w:rsidRPr="13D05368">
              <w:rPr>
                <w:rFonts w:eastAsia="Arial"/>
                <w:sz w:val="22"/>
              </w:rPr>
              <w:t>237 (-637,1112)</w:t>
            </w:r>
          </w:p>
        </w:tc>
        <w:tc>
          <w:tcPr>
            <w:tcW w:w="1738" w:type="dxa"/>
            <w:tcBorders>
              <w:top w:val="nil"/>
              <w:left w:val="nil"/>
              <w:bottom w:val="nil"/>
              <w:right w:val="nil"/>
            </w:tcBorders>
            <w:tcMar>
              <w:left w:w="105" w:type="dxa"/>
              <w:right w:w="105" w:type="dxa"/>
            </w:tcMar>
            <w:vAlign w:val="center"/>
          </w:tcPr>
          <w:p w14:paraId="63B3EC58" w14:textId="4638FA87" w:rsidR="13D05368" w:rsidRDefault="13D05368" w:rsidP="13D05368">
            <w:pPr>
              <w:spacing w:line="240" w:lineRule="auto"/>
              <w:jc w:val="center"/>
              <w:rPr>
                <w:rFonts w:eastAsia="Arial"/>
                <w:sz w:val="22"/>
              </w:rPr>
            </w:pPr>
            <w:r w:rsidRPr="13D05368">
              <w:rPr>
                <w:rFonts w:eastAsia="Arial"/>
                <w:sz w:val="22"/>
              </w:rPr>
              <w:t>498 (-129,1126)</w:t>
            </w:r>
          </w:p>
        </w:tc>
        <w:tc>
          <w:tcPr>
            <w:tcW w:w="1752" w:type="dxa"/>
            <w:tcBorders>
              <w:top w:val="nil"/>
              <w:left w:val="nil"/>
              <w:bottom w:val="nil"/>
              <w:right w:val="nil"/>
            </w:tcBorders>
            <w:tcMar>
              <w:left w:w="105" w:type="dxa"/>
              <w:right w:w="105" w:type="dxa"/>
            </w:tcMar>
            <w:vAlign w:val="center"/>
          </w:tcPr>
          <w:p w14:paraId="78F62958" w14:textId="4A26634B" w:rsidR="13D05368" w:rsidRDefault="13D05368" w:rsidP="13D05368">
            <w:pPr>
              <w:spacing w:line="240" w:lineRule="auto"/>
              <w:jc w:val="center"/>
              <w:rPr>
                <w:rFonts w:eastAsia="Arial"/>
                <w:sz w:val="22"/>
              </w:rPr>
            </w:pPr>
            <w:r w:rsidRPr="13D05368">
              <w:rPr>
                <w:rFonts w:eastAsia="Arial"/>
                <w:sz w:val="22"/>
              </w:rPr>
              <w:t>-109 (-326,109)</w:t>
            </w:r>
          </w:p>
        </w:tc>
      </w:tr>
      <w:tr w:rsidR="13D05368" w14:paraId="73D93480" w14:textId="77777777" w:rsidTr="13D05368">
        <w:trPr>
          <w:trHeight w:val="300"/>
        </w:trPr>
        <w:tc>
          <w:tcPr>
            <w:tcW w:w="4065" w:type="dxa"/>
            <w:tcBorders>
              <w:top w:val="nil"/>
              <w:left w:val="nil"/>
              <w:bottom w:val="nil"/>
              <w:right w:val="single" w:sz="6" w:space="0" w:color="auto"/>
            </w:tcBorders>
            <w:tcMar>
              <w:left w:w="105" w:type="dxa"/>
              <w:right w:w="105" w:type="dxa"/>
            </w:tcMar>
            <w:vAlign w:val="center"/>
          </w:tcPr>
          <w:p w14:paraId="5949CD37" w14:textId="62A6F14D" w:rsidR="13D05368" w:rsidRDefault="13D05368" w:rsidP="13D05368">
            <w:pPr>
              <w:spacing w:line="240" w:lineRule="auto"/>
              <w:ind w:left="345" w:right="-120"/>
              <w:rPr>
                <w:rFonts w:eastAsia="Arial"/>
                <w:sz w:val="22"/>
              </w:rPr>
            </w:pPr>
            <w:r w:rsidRPr="13D05368">
              <w:rPr>
                <w:rFonts w:eastAsia="Arial"/>
                <w:sz w:val="22"/>
              </w:rPr>
              <w:t>200k+ </w:t>
            </w:r>
          </w:p>
        </w:tc>
        <w:tc>
          <w:tcPr>
            <w:tcW w:w="1805" w:type="dxa"/>
            <w:tcBorders>
              <w:top w:val="nil"/>
              <w:left w:val="single" w:sz="6" w:space="0" w:color="auto"/>
              <w:bottom w:val="nil"/>
              <w:right w:val="nil"/>
            </w:tcBorders>
            <w:tcMar>
              <w:left w:w="105" w:type="dxa"/>
              <w:right w:w="105" w:type="dxa"/>
            </w:tcMar>
            <w:vAlign w:val="center"/>
          </w:tcPr>
          <w:p w14:paraId="7407D4BB" w14:textId="2961740B" w:rsidR="13D05368" w:rsidRDefault="13D05368" w:rsidP="13D05368">
            <w:pPr>
              <w:spacing w:line="240" w:lineRule="auto"/>
              <w:jc w:val="center"/>
              <w:rPr>
                <w:rFonts w:eastAsia="Arial"/>
                <w:sz w:val="22"/>
              </w:rPr>
            </w:pPr>
            <w:r w:rsidRPr="13D05368">
              <w:rPr>
                <w:rFonts w:eastAsia="Arial"/>
                <w:sz w:val="22"/>
              </w:rPr>
              <w:t>1171</w:t>
            </w:r>
            <w:r w:rsidRPr="13D05368">
              <w:rPr>
                <w:rFonts w:eastAsia="Arial"/>
                <w:sz w:val="22"/>
                <w:vertAlign w:val="superscript"/>
              </w:rPr>
              <w:t>*</w:t>
            </w:r>
            <w:r w:rsidRPr="13D05368">
              <w:rPr>
                <w:rFonts w:eastAsia="Arial"/>
                <w:sz w:val="22"/>
              </w:rPr>
              <w:t xml:space="preserve"> (28,2313)</w:t>
            </w:r>
          </w:p>
        </w:tc>
        <w:tc>
          <w:tcPr>
            <w:tcW w:w="1738" w:type="dxa"/>
            <w:tcBorders>
              <w:top w:val="nil"/>
              <w:left w:val="nil"/>
              <w:bottom w:val="nil"/>
              <w:right w:val="nil"/>
            </w:tcBorders>
            <w:tcMar>
              <w:left w:w="105" w:type="dxa"/>
              <w:right w:w="105" w:type="dxa"/>
            </w:tcMar>
            <w:vAlign w:val="center"/>
          </w:tcPr>
          <w:p w14:paraId="3C661828" w14:textId="2A046B2A" w:rsidR="13D05368" w:rsidRDefault="13D05368" w:rsidP="13D05368">
            <w:pPr>
              <w:spacing w:line="240" w:lineRule="auto"/>
              <w:jc w:val="center"/>
              <w:rPr>
                <w:rFonts w:eastAsia="Arial"/>
                <w:sz w:val="22"/>
              </w:rPr>
            </w:pPr>
            <w:r w:rsidRPr="13D05368">
              <w:rPr>
                <w:rFonts w:eastAsia="Arial"/>
                <w:sz w:val="22"/>
              </w:rPr>
              <w:t>6 (-576,588)</w:t>
            </w:r>
          </w:p>
        </w:tc>
        <w:tc>
          <w:tcPr>
            <w:tcW w:w="1752" w:type="dxa"/>
            <w:tcBorders>
              <w:top w:val="nil"/>
              <w:left w:val="nil"/>
              <w:bottom w:val="nil"/>
              <w:right w:val="nil"/>
            </w:tcBorders>
            <w:tcMar>
              <w:left w:w="105" w:type="dxa"/>
              <w:right w:w="105" w:type="dxa"/>
            </w:tcMar>
            <w:vAlign w:val="center"/>
          </w:tcPr>
          <w:p w14:paraId="0A044B2A" w14:textId="02E145DF" w:rsidR="13D05368" w:rsidRDefault="13D05368" w:rsidP="13D05368">
            <w:pPr>
              <w:spacing w:line="240" w:lineRule="auto"/>
              <w:jc w:val="center"/>
              <w:rPr>
                <w:rFonts w:eastAsia="Arial"/>
                <w:sz w:val="22"/>
              </w:rPr>
            </w:pPr>
            <w:r w:rsidRPr="13D05368">
              <w:rPr>
                <w:rFonts w:eastAsia="Arial"/>
                <w:sz w:val="22"/>
              </w:rPr>
              <w:t>-137 (-352,77)</w:t>
            </w:r>
          </w:p>
        </w:tc>
      </w:tr>
      <w:tr w:rsidR="13D05368" w14:paraId="1564F525" w14:textId="77777777" w:rsidTr="13D05368">
        <w:trPr>
          <w:trHeight w:val="300"/>
        </w:trPr>
        <w:tc>
          <w:tcPr>
            <w:tcW w:w="4065" w:type="dxa"/>
            <w:tcBorders>
              <w:top w:val="nil"/>
              <w:left w:val="nil"/>
              <w:bottom w:val="nil"/>
              <w:right w:val="single" w:sz="6" w:space="0" w:color="auto"/>
            </w:tcBorders>
            <w:tcMar>
              <w:left w:w="105" w:type="dxa"/>
              <w:right w:w="105" w:type="dxa"/>
            </w:tcMar>
            <w:vAlign w:val="center"/>
          </w:tcPr>
          <w:p w14:paraId="6DBA51B7" w14:textId="115B553A" w:rsidR="13D05368" w:rsidRDefault="13D05368" w:rsidP="13D05368">
            <w:pPr>
              <w:spacing w:line="240" w:lineRule="auto"/>
              <w:rPr>
                <w:rFonts w:eastAsia="Arial"/>
                <w:sz w:val="22"/>
              </w:rPr>
            </w:pPr>
            <w:r w:rsidRPr="13D05368">
              <w:rPr>
                <w:rFonts w:eastAsia="Arial"/>
                <w:b/>
                <w:bCs/>
                <w:sz w:val="22"/>
              </w:rPr>
              <w:t>Race and Ethnicity (Ref: NHW)</w:t>
            </w:r>
            <w:r w:rsidRPr="13D05368">
              <w:rPr>
                <w:rFonts w:eastAsia="Arial"/>
                <w:sz w:val="22"/>
              </w:rPr>
              <w:t> </w:t>
            </w:r>
          </w:p>
        </w:tc>
        <w:tc>
          <w:tcPr>
            <w:tcW w:w="1805" w:type="dxa"/>
            <w:tcBorders>
              <w:top w:val="nil"/>
              <w:left w:val="single" w:sz="6" w:space="0" w:color="auto"/>
              <w:bottom w:val="nil"/>
              <w:right w:val="nil"/>
            </w:tcBorders>
            <w:tcMar>
              <w:left w:w="105" w:type="dxa"/>
              <w:right w:w="105" w:type="dxa"/>
            </w:tcMar>
            <w:vAlign w:val="center"/>
          </w:tcPr>
          <w:p w14:paraId="097814F2" w14:textId="666D5582" w:rsidR="13D05368" w:rsidRDefault="13D05368" w:rsidP="13D05368">
            <w:pPr>
              <w:spacing w:line="240" w:lineRule="auto"/>
              <w:jc w:val="center"/>
              <w:rPr>
                <w:rFonts w:eastAsia="Arial"/>
                <w:sz w:val="22"/>
              </w:rPr>
            </w:pPr>
            <w:r w:rsidRPr="13D05368">
              <w:rPr>
                <w:rFonts w:eastAsia="Arial"/>
                <w:sz w:val="22"/>
              </w:rPr>
              <w:t> </w:t>
            </w:r>
          </w:p>
        </w:tc>
        <w:tc>
          <w:tcPr>
            <w:tcW w:w="1738" w:type="dxa"/>
            <w:tcBorders>
              <w:top w:val="nil"/>
              <w:left w:val="nil"/>
              <w:bottom w:val="nil"/>
              <w:right w:val="nil"/>
            </w:tcBorders>
            <w:tcMar>
              <w:left w:w="105" w:type="dxa"/>
              <w:right w:w="105" w:type="dxa"/>
            </w:tcMar>
            <w:vAlign w:val="center"/>
          </w:tcPr>
          <w:p w14:paraId="2F47AF20" w14:textId="7E7405D3" w:rsidR="13D05368" w:rsidRDefault="13D05368" w:rsidP="13D05368">
            <w:pPr>
              <w:spacing w:line="240" w:lineRule="auto"/>
              <w:jc w:val="center"/>
              <w:rPr>
                <w:rFonts w:eastAsia="Arial"/>
                <w:sz w:val="22"/>
              </w:rPr>
            </w:pPr>
            <w:r w:rsidRPr="13D05368">
              <w:rPr>
                <w:rFonts w:eastAsia="Arial"/>
                <w:sz w:val="22"/>
              </w:rPr>
              <w:t> </w:t>
            </w:r>
          </w:p>
        </w:tc>
        <w:tc>
          <w:tcPr>
            <w:tcW w:w="1752" w:type="dxa"/>
            <w:tcBorders>
              <w:top w:val="nil"/>
              <w:left w:val="nil"/>
              <w:bottom w:val="nil"/>
              <w:right w:val="nil"/>
            </w:tcBorders>
            <w:tcMar>
              <w:left w:w="105" w:type="dxa"/>
              <w:right w:w="105" w:type="dxa"/>
            </w:tcMar>
            <w:vAlign w:val="center"/>
          </w:tcPr>
          <w:p w14:paraId="56F24B0B" w14:textId="268F7B87" w:rsidR="13D05368" w:rsidRDefault="13D05368" w:rsidP="13D05368">
            <w:pPr>
              <w:spacing w:line="240" w:lineRule="auto"/>
              <w:jc w:val="center"/>
              <w:rPr>
                <w:rFonts w:eastAsia="Arial"/>
                <w:sz w:val="22"/>
              </w:rPr>
            </w:pPr>
            <w:r w:rsidRPr="13D05368">
              <w:rPr>
                <w:rFonts w:eastAsia="Arial"/>
                <w:sz w:val="22"/>
              </w:rPr>
              <w:t> </w:t>
            </w:r>
          </w:p>
        </w:tc>
      </w:tr>
      <w:tr w:rsidR="13D05368" w14:paraId="0B4AC9DC" w14:textId="77777777" w:rsidTr="13D05368">
        <w:trPr>
          <w:trHeight w:val="300"/>
        </w:trPr>
        <w:tc>
          <w:tcPr>
            <w:tcW w:w="4065" w:type="dxa"/>
            <w:tcBorders>
              <w:top w:val="nil"/>
              <w:left w:val="nil"/>
              <w:bottom w:val="nil"/>
              <w:right w:val="single" w:sz="6" w:space="0" w:color="auto"/>
            </w:tcBorders>
            <w:tcMar>
              <w:left w:w="105" w:type="dxa"/>
              <w:right w:w="105" w:type="dxa"/>
            </w:tcMar>
            <w:vAlign w:val="center"/>
          </w:tcPr>
          <w:p w14:paraId="2022E51B" w14:textId="29784DDD" w:rsidR="13D05368" w:rsidRDefault="13D05368" w:rsidP="13D05368">
            <w:pPr>
              <w:spacing w:line="240" w:lineRule="auto"/>
              <w:ind w:left="345"/>
              <w:rPr>
                <w:rFonts w:eastAsia="Arial"/>
                <w:sz w:val="22"/>
              </w:rPr>
            </w:pPr>
            <w:r w:rsidRPr="13D05368">
              <w:rPr>
                <w:rFonts w:eastAsia="Arial"/>
                <w:sz w:val="22"/>
              </w:rPr>
              <w:t>NHB </w:t>
            </w:r>
          </w:p>
        </w:tc>
        <w:tc>
          <w:tcPr>
            <w:tcW w:w="1805" w:type="dxa"/>
            <w:tcBorders>
              <w:top w:val="nil"/>
              <w:left w:val="single" w:sz="6" w:space="0" w:color="auto"/>
              <w:bottom w:val="nil"/>
              <w:right w:val="nil"/>
            </w:tcBorders>
            <w:tcMar>
              <w:left w:w="105" w:type="dxa"/>
              <w:right w:w="105" w:type="dxa"/>
            </w:tcMar>
            <w:vAlign w:val="center"/>
          </w:tcPr>
          <w:p w14:paraId="2E2D8E45" w14:textId="4016B28B" w:rsidR="13D05368" w:rsidRDefault="13D05368" w:rsidP="13D05368">
            <w:pPr>
              <w:spacing w:line="240" w:lineRule="auto"/>
              <w:jc w:val="center"/>
              <w:rPr>
                <w:rFonts w:eastAsia="Arial"/>
                <w:sz w:val="22"/>
              </w:rPr>
            </w:pPr>
            <w:r w:rsidRPr="13D05368">
              <w:rPr>
                <w:rFonts w:eastAsia="Arial"/>
                <w:sz w:val="22"/>
              </w:rPr>
              <w:t>1537 (-163,3238)</w:t>
            </w:r>
          </w:p>
        </w:tc>
        <w:tc>
          <w:tcPr>
            <w:tcW w:w="1738" w:type="dxa"/>
            <w:tcBorders>
              <w:top w:val="nil"/>
              <w:left w:val="nil"/>
              <w:bottom w:val="nil"/>
              <w:right w:val="nil"/>
            </w:tcBorders>
            <w:tcMar>
              <w:left w:w="105" w:type="dxa"/>
              <w:right w:w="105" w:type="dxa"/>
            </w:tcMar>
            <w:vAlign w:val="center"/>
          </w:tcPr>
          <w:p w14:paraId="2CD3E6BC" w14:textId="49F50231" w:rsidR="13D05368" w:rsidRDefault="13D05368" w:rsidP="13D05368">
            <w:pPr>
              <w:spacing w:line="240" w:lineRule="auto"/>
              <w:jc w:val="center"/>
              <w:rPr>
                <w:rFonts w:eastAsia="Arial"/>
                <w:sz w:val="22"/>
              </w:rPr>
            </w:pPr>
            <w:r w:rsidRPr="13D05368">
              <w:rPr>
                <w:rFonts w:eastAsia="Arial"/>
                <w:sz w:val="22"/>
              </w:rPr>
              <w:t>-73 (-480,333)</w:t>
            </w:r>
          </w:p>
        </w:tc>
        <w:tc>
          <w:tcPr>
            <w:tcW w:w="1752" w:type="dxa"/>
            <w:tcBorders>
              <w:top w:val="nil"/>
              <w:left w:val="nil"/>
              <w:bottom w:val="nil"/>
              <w:right w:val="nil"/>
            </w:tcBorders>
            <w:tcMar>
              <w:left w:w="105" w:type="dxa"/>
              <w:right w:w="105" w:type="dxa"/>
            </w:tcMar>
            <w:vAlign w:val="center"/>
          </w:tcPr>
          <w:p w14:paraId="4E708E42" w14:textId="7CB9D541" w:rsidR="13D05368" w:rsidRDefault="13D05368" w:rsidP="13D05368">
            <w:pPr>
              <w:spacing w:line="240" w:lineRule="auto"/>
              <w:jc w:val="center"/>
              <w:rPr>
                <w:rFonts w:eastAsia="Arial"/>
                <w:sz w:val="22"/>
              </w:rPr>
            </w:pPr>
            <w:r w:rsidRPr="13D05368">
              <w:rPr>
                <w:rFonts w:eastAsia="Arial"/>
                <w:sz w:val="22"/>
              </w:rPr>
              <w:t>145 (-29,318)</w:t>
            </w:r>
          </w:p>
        </w:tc>
      </w:tr>
      <w:tr w:rsidR="13D05368" w14:paraId="2AFE296A" w14:textId="77777777" w:rsidTr="13D05368">
        <w:trPr>
          <w:trHeight w:val="300"/>
        </w:trPr>
        <w:tc>
          <w:tcPr>
            <w:tcW w:w="4065" w:type="dxa"/>
            <w:tcBorders>
              <w:top w:val="nil"/>
              <w:left w:val="nil"/>
              <w:bottom w:val="nil"/>
              <w:right w:val="single" w:sz="6" w:space="0" w:color="auto"/>
            </w:tcBorders>
            <w:tcMar>
              <w:left w:w="105" w:type="dxa"/>
              <w:right w:w="105" w:type="dxa"/>
            </w:tcMar>
            <w:vAlign w:val="center"/>
          </w:tcPr>
          <w:p w14:paraId="5A81435B" w14:textId="5AE4BC19" w:rsidR="13D05368" w:rsidRDefault="13D05368" w:rsidP="13D05368">
            <w:pPr>
              <w:spacing w:line="240" w:lineRule="auto"/>
              <w:ind w:left="345"/>
              <w:rPr>
                <w:rFonts w:eastAsia="Arial"/>
                <w:sz w:val="22"/>
              </w:rPr>
            </w:pPr>
            <w:r w:rsidRPr="13D05368">
              <w:rPr>
                <w:rFonts w:eastAsia="Arial"/>
                <w:sz w:val="22"/>
              </w:rPr>
              <w:t>H/L </w:t>
            </w:r>
          </w:p>
        </w:tc>
        <w:tc>
          <w:tcPr>
            <w:tcW w:w="1805" w:type="dxa"/>
            <w:tcBorders>
              <w:top w:val="nil"/>
              <w:left w:val="single" w:sz="6" w:space="0" w:color="auto"/>
              <w:bottom w:val="nil"/>
              <w:right w:val="nil"/>
            </w:tcBorders>
            <w:tcMar>
              <w:left w:w="105" w:type="dxa"/>
              <w:right w:w="105" w:type="dxa"/>
            </w:tcMar>
            <w:vAlign w:val="center"/>
          </w:tcPr>
          <w:p w14:paraId="03FFABF8" w14:textId="279C1058" w:rsidR="13D05368" w:rsidRDefault="13D05368" w:rsidP="13D05368">
            <w:pPr>
              <w:spacing w:line="240" w:lineRule="auto"/>
              <w:jc w:val="center"/>
              <w:rPr>
                <w:rFonts w:eastAsia="Arial"/>
                <w:sz w:val="22"/>
              </w:rPr>
            </w:pPr>
            <w:r w:rsidRPr="13D05368">
              <w:rPr>
                <w:rFonts w:eastAsia="Arial"/>
                <w:sz w:val="22"/>
              </w:rPr>
              <w:t>1093</w:t>
            </w:r>
            <w:r w:rsidRPr="13D05368">
              <w:rPr>
                <w:rFonts w:eastAsia="Arial"/>
                <w:sz w:val="22"/>
                <w:vertAlign w:val="superscript"/>
              </w:rPr>
              <w:t>***</w:t>
            </w:r>
            <w:r w:rsidRPr="13D05368">
              <w:rPr>
                <w:rFonts w:eastAsia="Arial"/>
                <w:sz w:val="22"/>
              </w:rPr>
              <w:t xml:space="preserve"> (454,1732)</w:t>
            </w:r>
          </w:p>
        </w:tc>
        <w:tc>
          <w:tcPr>
            <w:tcW w:w="1738" w:type="dxa"/>
            <w:tcBorders>
              <w:top w:val="nil"/>
              <w:left w:val="nil"/>
              <w:bottom w:val="nil"/>
              <w:right w:val="nil"/>
            </w:tcBorders>
            <w:tcMar>
              <w:left w:w="105" w:type="dxa"/>
              <w:right w:w="105" w:type="dxa"/>
            </w:tcMar>
            <w:vAlign w:val="center"/>
          </w:tcPr>
          <w:p w14:paraId="791C6B61" w14:textId="3B99ECCF" w:rsidR="13D05368" w:rsidRDefault="13D05368" w:rsidP="13D05368">
            <w:pPr>
              <w:spacing w:line="240" w:lineRule="auto"/>
              <w:jc w:val="center"/>
              <w:rPr>
                <w:rFonts w:eastAsia="Arial"/>
                <w:sz w:val="22"/>
              </w:rPr>
            </w:pPr>
            <w:r w:rsidRPr="13D05368">
              <w:rPr>
                <w:rFonts w:eastAsia="Arial"/>
                <w:sz w:val="22"/>
              </w:rPr>
              <w:t>-438 (-1406,531)</w:t>
            </w:r>
          </w:p>
        </w:tc>
        <w:tc>
          <w:tcPr>
            <w:tcW w:w="1752" w:type="dxa"/>
            <w:tcBorders>
              <w:top w:val="nil"/>
              <w:left w:val="nil"/>
              <w:bottom w:val="nil"/>
              <w:right w:val="nil"/>
            </w:tcBorders>
            <w:tcMar>
              <w:left w:w="105" w:type="dxa"/>
              <w:right w:w="105" w:type="dxa"/>
            </w:tcMar>
            <w:vAlign w:val="center"/>
          </w:tcPr>
          <w:p w14:paraId="1016EC67" w14:textId="0C21AAB6" w:rsidR="13D05368" w:rsidRDefault="13D05368" w:rsidP="13D05368">
            <w:pPr>
              <w:spacing w:line="240" w:lineRule="auto"/>
              <w:jc w:val="center"/>
              <w:rPr>
                <w:rFonts w:eastAsia="Arial"/>
                <w:sz w:val="22"/>
              </w:rPr>
            </w:pPr>
            <w:r w:rsidRPr="13D05368">
              <w:rPr>
                <w:rFonts w:eastAsia="Arial"/>
                <w:sz w:val="22"/>
              </w:rPr>
              <w:t>177 (-210,565)</w:t>
            </w:r>
          </w:p>
        </w:tc>
      </w:tr>
      <w:tr w:rsidR="13D05368" w14:paraId="04876C4B" w14:textId="77777777" w:rsidTr="13D05368">
        <w:trPr>
          <w:trHeight w:val="300"/>
        </w:trPr>
        <w:tc>
          <w:tcPr>
            <w:tcW w:w="4065" w:type="dxa"/>
            <w:tcBorders>
              <w:top w:val="nil"/>
              <w:left w:val="nil"/>
              <w:bottom w:val="nil"/>
              <w:right w:val="single" w:sz="6" w:space="0" w:color="auto"/>
            </w:tcBorders>
            <w:tcMar>
              <w:left w:w="105" w:type="dxa"/>
              <w:right w:w="105" w:type="dxa"/>
            </w:tcMar>
            <w:vAlign w:val="center"/>
          </w:tcPr>
          <w:p w14:paraId="7C1369A4" w14:textId="66F25E90" w:rsidR="13D05368" w:rsidRDefault="13D05368" w:rsidP="13D05368">
            <w:pPr>
              <w:spacing w:line="240" w:lineRule="auto"/>
              <w:rPr>
                <w:rFonts w:eastAsia="Arial"/>
                <w:sz w:val="22"/>
              </w:rPr>
            </w:pPr>
            <w:r w:rsidRPr="13D05368">
              <w:rPr>
                <w:rFonts w:eastAsia="Arial"/>
                <w:b/>
                <w:bCs/>
                <w:sz w:val="22"/>
              </w:rPr>
              <w:t>Gender (Ref: Male)</w:t>
            </w:r>
            <w:r w:rsidRPr="13D05368">
              <w:rPr>
                <w:rFonts w:eastAsia="Arial"/>
                <w:sz w:val="22"/>
              </w:rPr>
              <w:t> </w:t>
            </w:r>
          </w:p>
        </w:tc>
        <w:tc>
          <w:tcPr>
            <w:tcW w:w="1805" w:type="dxa"/>
            <w:tcBorders>
              <w:top w:val="nil"/>
              <w:left w:val="single" w:sz="6" w:space="0" w:color="auto"/>
              <w:bottom w:val="nil"/>
              <w:right w:val="nil"/>
            </w:tcBorders>
            <w:tcMar>
              <w:left w:w="105" w:type="dxa"/>
              <w:right w:w="105" w:type="dxa"/>
            </w:tcMar>
            <w:vAlign w:val="center"/>
          </w:tcPr>
          <w:p w14:paraId="62837321" w14:textId="5CBC5CC7" w:rsidR="13D05368" w:rsidRDefault="13D05368" w:rsidP="13D05368">
            <w:pPr>
              <w:spacing w:line="240" w:lineRule="auto"/>
              <w:jc w:val="center"/>
              <w:rPr>
                <w:rFonts w:eastAsia="Arial"/>
                <w:sz w:val="22"/>
              </w:rPr>
            </w:pPr>
            <w:r w:rsidRPr="13D05368">
              <w:rPr>
                <w:rFonts w:eastAsia="Arial"/>
                <w:sz w:val="22"/>
              </w:rPr>
              <w:t> </w:t>
            </w:r>
          </w:p>
        </w:tc>
        <w:tc>
          <w:tcPr>
            <w:tcW w:w="1738" w:type="dxa"/>
            <w:tcBorders>
              <w:top w:val="nil"/>
              <w:left w:val="nil"/>
              <w:bottom w:val="nil"/>
              <w:right w:val="nil"/>
            </w:tcBorders>
            <w:tcMar>
              <w:left w:w="105" w:type="dxa"/>
              <w:right w:w="105" w:type="dxa"/>
            </w:tcMar>
            <w:vAlign w:val="center"/>
          </w:tcPr>
          <w:p w14:paraId="21183599" w14:textId="62B839BC" w:rsidR="13D05368" w:rsidRDefault="13D05368" w:rsidP="13D05368">
            <w:pPr>
              <w:spacing w:line="240" w:lineRule="auto"/>
              <w:jc w:val="center"/>
              <w:rPr>
                <w:rFonts w:eastAsia="Arial"/>
                <w:sz w:val="22"/>
              </w:rPr>
            </w:pPr>
            <w:r w:rsidRPr="13D05368">
              <w:rPr>
                <w:rFonts w:eastAsia="Arial"/>
                <w:sz w:val="22"/>
              </w:rPr>
              <w:t> </w:t>
            </w:r>
          </w:p>
        </w:tc>
        <w:tc>
          <w:tcPr>
            <w:tcW w:w="1752" w:type="dxa"/>
            <w:tcBorders>
              <w:top w:val="nil"/>
              <w:left w:val="nil"/>
              <w:bottom w:val="nil"/>
              <w:right w:val="nil"/>
            </w:tcBorders>
            <w:tcMar>
              <w:left w:w="105" w:type="dxa"/>
              <w:right w:w="105" w:type="dxa"/>
            </w:tcMar>
            <w:vAlign w:val="center"/>
          </w:tcPr>
          <w:p w14:paraId="6F295BDA" w14:textId="26439446" w:rsidR="13D05368" w:rsidRDefault="13D05368" w:rsidP="13D05368">
            <w:pPr>
              <w:spacing w:line="240" w:lineRule="auto"/>
              <w:jc w:val="center"/>
              <w:rPr>
                <w:rFonts w:eastAsia="Arial"/>
                <w:sz w:val="22"/>
              </w:rPr>
            </w:pPr>
            <w:r w:rsidRPr="13D05368">
              <w:rPr>
                <w:rFonts w:eastAsia="Arial"/>
                <w:sz w:val="22"/>
              </w:rPr>
              <w:t> </w:t>
            </w:r>
          </w:p>
        </w:tc>
      </w:tr>
      <w:tr w:rsidR="13D05368" w14:paraId="799AFEAF" w14:textId="77777777" w:rsidTr="13D05368">
        <w:trPr>
          <w:trHeight w:val="300"/>
        </w:trPr>
        <w:tc>
          <w:tcPr>
            <w:tcW w:w="4065" w:type="dxa"/>
            <w:tcBorders>
              <w:top w:val="nil"/>
              <w:left w:val="nil"/>
              <w:bottom w:val="nil"/>
              <w:right w:val="single" w:sz="6" w:space="0" w:color="auto"/>
            </w:tcBorders>
            <w:tcMar>
              <w:left w:w="105" w:type="dxa"/>
              <w:right w:w="105" w:type="dxa"/>
            </w:tcMar>
            <w:vAlign w:val="center"/>
          </w:tcPr>
          <w:p w14:paraId="5CF6C04E" w14:textId="32814EAE" w:rsidR="13D05368" w:rsidRDefault="13D05368" w:rsidP="13D05368">
            <w:pPr>
              <w:spacing w:line="240" w:lineRule="auto"/>
              <w:ind w:left="345"/>
              <w:rPr>
                <w:rFonts w:eastAsia="Arial"/>
                <w:sz w:val="22"/>
              </w:rPr>
            </w:pPr>
            <w:r w:rsidRPr="13D05368">
              <w:rPr>
                <w:rFonts w:eastAsia="Arial"/>
                <w:sz w:val="22"/>
              </w:rPr>
              <w:t>Female </w:t>
            </w:r>
          </w:p>
        </w:tc>
        <w:tc>
          <w:tcPr>
            <w:tcW w:w="1805" w:type="dxa"/>
            <w:tcBorders>
              <w:top w:val="nil"/>
              <w:left w:val="single" w:sz="6" w:space="0" w:color="auto"/>
              <w:bottom w:val="nil"/>
              <w:right w:val="nil"/>
            </w:tcBorders>
            <w:tcMar>
              <w:left w:w="105" w:type="dxa"/>
              <w:right w:w="105" w:type="dxa"/>
            </w:tcMar>
            <w:vAlign w:val="center"/>
          </w:tcPr>
          <w:p w14:paraId="67D4C172" w14:textId="4CC088BA" w:rsidR="13D05368" w:rsidRDefault="13D05368" w:rsidP="13D05368">
            <w:pPr>
              <w:spacing w:line="240" w:lineRule="auto"/>
              <w:jc w:val="center"/>
              <w:rPr>
                <w:rFonts w:eastAsia="Arial"/>
                <w:sz w:val="22"/>
              </w:rPr>
            </w:pPr>
            <w:r w:rsidRPr="13D05368">
              <w:rPr>
                <w:rFonts w:eastAsia="Arial"/>
                <w:sz w:val="22"/>
              </w:rPr>
              <w:t>816</w:t>
            </w:r>
            <w:r w:rsidRPr="13D05368">
              <w:rPr>
                <w:rFonts w:eastAsia="Arial"/>
                <w:sz w:val="22"/>
                <w:vertAlign w:val="superscript"/>
              </w:rPr>
              <w:t>*</w:t>
            </w:r>
            <w:r w:rsidRPr="13D05368">
              <w:rPr>
                <w:rFonts w:eastAsia="Arial"/>
                <w:sz w:val="22"/>
              </w:rPr>
              <w:t xml:space="preserve"> (178,1454)</w:t>
            </w:r>
          </w:p>
        </w:tc>
        <w:tc>
          <w:tcPr>
            <w:tcW w:w="1738" w:type="dxa"/>
            <w:tcBorders>
              <w:top w:val="nil"/>
              <w:left w:val="nil"/>
              <w:bottom w:val="nil"/>
              <w:right w:val="nil"/>
            </w:tcBorders>
            <w:tcMar>
              <w:left w:w="105" w:type="dxa"/>
              <w:right w:w="105" w:type="dxa"/>
            </w:tcMar>
            <w:vAlign w:val="center"/>
          </w:tcPr>
          <w:p w14:paraId="16473A32" w14:textId="06BE2C42" w:rsidR="13D05368" w:rsidRDefault="13D05368" w:rsidP="13D05368">
            <w:pPr>
              <w:spacing w:line="240" w:lineRule="auto"/>
              <w:jc w:val="center"/>
              <w:rPr>
                <w:rFonts w:eastAsia="Arial"/>
                <w:sz w:val="22"/>
              </w:rPr>
            </w:pPr>
            <w:r w:rsidRPr="13D05368">
              <w:rPr>
                <w:rFonts w:eastAsia="Arial"/>
                <w:sz w:val="22"/>
              </w:rPr>
              <w:t>-404 (-1197,389)</w:t>
            </w:r>
          </w:p>
        </w:tc>
        <w:tc>
          <w:tcPr>
            <w:tcW w:w="1752" w:type="dxa"/>
            <w:tcBorders>
              <w:top w:val="nil"/>
              <w:left w:val="nil"/>
              <w:bottom w:val="nil"/>
              <w:right w:val="nil"/>
            </w:tcBorders>
            <w:tcMar>
              <w:left w:w="105" w:type="dxa"/>
              <w:right w:w="105" w:type="dxa"/>
            </w:tcMar>
            <w:vAlign w:val="center"/>
          </w:tcPr>
          <w:p w14:paraId="6F2D46E2" w14:textId="5E7F98A2" w:rsidR="13D05368" w:rsidRDefault="13D05368" w:rsidP="13D05368">
            <w:pPr>
              <w:spacing w:line="240" w:lineRule="auto"/>
              <w:jc w:val="center"/>
              <w:rPr>
                <w:rFonts w:eastAsia="Arial"/>
                <w:sz w:val="22"/>
              </w:rPr>
            </w:pPr>
            <w:r w:rsidRPr="13D05368">
              <w:rPr>
                <w:rFonts w:eastAsia="Arial"/>
                <w:sz w:val="22"/>
              </w:rPr>
              <w:t>-18 (-102,66)</w:t>
            </w:r>
          </w:p>
        </w:tc>
      </w:tr>
      <w:tr w:rsidR="13D05368" w14:paraId="43C61E7E" w14:textId="77777777" w:rsidTr="13D05368">
        <w:trPr>
          <w:trHeight w:val="300"/>
        </w:trPr>
        <w:tc>
          <w:tcPr>
            <w:tcW w:w="4065" w:type="dxa"/>
            <w:tcBorders>
              <w:top w:val="nil"/>
              <w:left w:val="nil"/>
              <w:bottom w:val="nil"/>
              <w:right w:val="single" w:sz="6" w:space="0" w:color="auto"/>
            </w:tcBorders>
            <w:tcMar>
              <w:left w:w="105" w:type="dxa"/>
              <w:right w:w="105" w:type="dxa"/>
            </w:tcMar>
            <w:vAlign w:val="center"/>
          </w:tcPr>
          <w:p w14:paraId="1B1895FB" w14:textId="7C1F7B4D" w:rsidR="13D05368" w:rsidRDefault="13D05368" w:rsidP="13D05368">
            <w:pPr>
              <w:spacing w:line="240" w:lineRule="auto"/>
              <w:rPr>
                <w:rFonts w:eastAsia="Arial"/>
                <w:sz w:val="22"/>
              </w:rPr>
            </w:pPr>
            <w:r w:rsidRPr="13D05368">
              <w:rPr>
                <w:rFonts w:eastAsia="Arial"/>
                <w:b/>
                <w:bCs/>
                <w:sz w:val="22"/>
              </w:rPr>
              <w:t>Age at Survey</w:t>
            </w:r>
            <w:r w:rsidRPr="13D05368">
              <w:rPr>
                <w:rFonts w:eastAsia="Arial"/>
                <w:sz w:val="22"/>
              </w:rPr>
              <w:t> </w:t>
            </w:r>
          </w:p>
        </w:tc>
        <w:tc>
          <w:tcPr>
            <w:tcW w:w="1805" w:type="dxa"/>
            <w:tcBorders>
              <w:top w:val="nil"/>
              <w:left w:val="single" w:sz="6" w:space="0" w:color="auto"/>
              <w:bottom w:val="nil"/>
              <w:right w:val="nil"/>
            </w:tcBorders>
            <w:tcMar>
              <w:left w:w="105" w:type="dxa"/>
              <w:right w:w="105" w:type="dxa"/>
            </w:tcMar>
            <w:vAlign w:val="center"/>
          </w:tcPr>
          <w:p w14:paraId="67394F06" w14:textId="4F814CC2" w:rsidR="13D05368" w:rsidRDefault="13D05368" w:rsidP="13D05368">
            <w:pPr>
              <w:spacing w:line="240" w:lineRule="auto"/>
              <w:jc w:val="center"/>
              <w:rPr>
                <w:rFonts w:eastAsia="Arial"/>
                <w:sz w:val="22"/>
              </w:rPr>
            </w:pPr>
            <w:r w:rsidRPr="13D05368">
              <w:rPr>
                <w:rFonts w:eastAsia="Arial"/>
                <w:sz w:val="22"/>
              </w:rPr>
              <w:t>-41 (-123,41)</w:t>
            </w:r>
          </w:p>
        </w:tc>
        <w:tc>
          <w:tcPr>
            <w:tcW w:w="1738" w:type="dxa"/>
            <w:tcBorders>
              <w:top w:val="nil"/>
              <w:left w:val="nil"/>
              <w:bottom w:val="nil"/>
              <w:right w:val="nil"/>
            </w:tcBorders>
            <w:tcMar>
              <w:left w:w="105" w:type="dxa"/>
              <w:right w:w="105" w:type="dxa"/>
            </w:tcMar>
            <w:vAlign w:val="center"/>
          </w:tcPr>
          <w:p w14:paraId="5F3C7985" w14:textId="36B9C816" w:rsidR="13D05368" w:rsidRDefault="13D05368" w:rsidP="13D05368">
            <w:pPr>
              <w:spacing w:line="240" w:lineRule="auto"/>
              <w:jc w:val="center"/>
              <w:rPr>
                <w:rFonts w:eastAsia="Arial"/>
                <w:sz w:val="22"/>
              </w:rPr>
            </w:pPr>
            <w:r w:rsidRPr="13D05368">
              <w:rPr>
                <w:rFonts w:eastAsia="Arial"/>
                <w:sz w:val="22"/>
              </w:rPr>
              <w:t>-69 (-208,70)</w:t>
            </w:r>
          </w:p>
        </w:tc>
        <w:tc>
          <w:tcPr>
            <w:tcW w:w="1752" w:type="dxa"/>
            <w:tcBorders>
              <w:top w:val="nil"/>
              <w:left w:val="nil"/>
              <w:bottom w:val="nil"/>
              <w:right w:val="nil"/>
            </w:tcBorders>
            <w:tcMar>
              <w:left w:w="105" w:type="dxa"/>
              <w:right w:w="105" w:type="dxa"/>
            </w:tcMar>
            <w:vAlign w:val="center"/>
          </w:tcPr>
          <w:p w14:paraId="4ABA7C2A" w14:textId="1D9F5505" w:rsidR="13D05368" w:rsidRDefault="13D05368" w:rsidP="13D05368">
            <w:pPr>
              <w:spacing w:line="240" w:lineRule="auto"/>
              <w:jc w:val="center"/>
              <w:rPr>
                <w:rFonts w:eastAsia="Arial"/>
                <w:sz w:val="22"/>
              </w:rPr>
            </w:pPr>
            <w:r w:rsidRPr="13D05368">
              <w:rPr>
                <w:rFonts w:eastAsia="Arial"/>
                <w:sz w:val="22"/>
              </w:rPr>
              <w:t>3 (-7,12)</w:t>
            </w:r>
          </w:p>
        </w:tc>
      </w:tr>
      <w:tr w:rsidR="13D05368" w14:paraId="68863BA5" w14:textId="77777777" w:rsidTr="13D05368">
        <w:trPr>
          <w:trHeight w:val="300"/>
        </w:trPr>
        <w:tc>
          <w:tcPr>
            <w:tcW w:w="4065" w:type="dxa"/>
            <w:tcBorders>
              <w:top w:val="nil"/>
              <w:left w:val="nil"/>
              <w:bottom w:val="nil"/>
              <w:right w:val="single" w:sz="6" w:space="0" w:color="auto"/>
            </w:tcBorders>
            <w:tcMar>
              <w:left w:w="105" w:type="dxa"/>
              <w:right w:w="105" w:type="dxa"/>
            </w:tcMar>
            <w:vAlign w:val="center"/>
          </w:tcPr>
          <w:p w14:paraId="2C88D95B" w14:textId="0A87377C" w:rsidR="13D05368" w:rsidRDefault="13D05368" w:rsidP="13D05368">
            <w:pPr>
              <w:spacing w:line="240" w:lineRule="auto"/>
              <w:rPr>
                <w:rFonts w:eastAsia="Arial"/>
                <w:sz w:val="22"/>
              </w:rPr>
            </w:pPr>
            <w:r w:rsidRPr="13D05368">
              <w:rPr>
                <w:rFonts w:eastAsia="Arial"/>
                <w:b/>
                <w:bCs/>
                <w:sz w:val="22"/>
              </w:rPr>
              <w:t>Needed to See a Medical Provider due to FA?</w:t>
            </w:r>
            <w:r w:rsidRPr="13D05368">
              <w:rPr>
                <w:rFonts w:eastAsia="Arial"/>
                <w:sz w:val="22"/>
              </w:rPr>
              <w:t> </w:t>
            </w:r>
          </w:p>
        </w:tc>
        <w:tc>
          <w:tcPr>
            <w:tcW w:w="1805" w:type="dxa"/>
            <w:tcBorders>
              <w:top w:val="nil"/>
              <w:left w:val="single" w:sz="6" w:space="0" w:color="auto"/>
              <w:bottom w:val="nil"/>
              <w:right w:val="nil"/>
            </w:tcBorders>
            <w:tcMar>
              <w:left w:w="105" w:type="dxa"/>
              <w:right w:w="105" w:type="dxa"/>
            </w:tcMar>
            <w:vAlign w:val="center"/>
          </w:tcPr>
          <w:p w14:paraId="793F8F08" w14:textId="78436671" w:rsidR="13D05368" w:rsidRDefault="13D05368" w:rsidP="13D05368">
            <w:pPr>
              <w:spacing w:line="240" w:lineRule="auto"/>
              <w:jc w:val="center"/>
              <w:rPr>
                <w:rFonts w:eastAsia="Arial"/>
                <w:sz w:val="22"/>
              </w:rPr>
            </w:pPr>
            <w:r w:rsidRPr="13D05368">
              <w:rPr>
                <w:rFonts w:eastAsia="Arial"/>
                <w:sz w:val="22"/>
              </w:rPr>
              <w:t>568 (-98,1235)</w:t>
            </w:r>
          </w:p>
        </w:tc>
        <w:tc>
          <w:tcPr>
            <w:tcW w:w="1738" w:type="dxa"/>
            <w:tcBorders>
              <w:top w:val="nil"/>
              <w:left w:val="nil"/>
              <w:bottom w:val="nil"/>
              <w:right w:val="nil"/>
            </w:tcBorders>
            <w:tcMar>
              <w:left w:w="105" w:type="dxa"/>
              <w:right w:w="105" w:type="dxa"/>
            </w:tcMar>
            <w:vAlign w:val="center"/>
          </w:tcPr>
          <w:p w14:paraId="2C27E7EA" w14:textId="76B11BE4" w:rsidR="13D05368" w:rsidRDefault="13D05368" w:rsidP="13D05368">
            <w:pPr>
              <w:spacing w:line="240" w:lineRule="auto"/>
              <w:jc w:val="center"/>
              <w:rPr>
                <w:rFonts w:eastAsia="Arial"/>
                <w:sz w:val="22"/>
              </w:rPr>
            </w:pPr>
            <w:r w:rsidRPr="13D05368">
              <w:rPr>
                <w:rFonts w:eastAsia="Arial"/>
                <w:sz w:val="22"/>
              </w:rPr>
              <w:t>-619 (-1632,394)</w:t>
            </w:r>
          </w:p>
        </w:tc>
        <w:tc>
          <w:tcPr>
            <w:tcW w:w="1752" w:type="dxa"/>
            <w:tcBorders>
              <w:top w:val="nil"/>
              <w:left w:val="nil"/>
              <w:bottom w:val="nil"/>
              <w:right w:val="nil"/>
            </w:tcBorders>
            <w:tcMar>
              <w:left w:w="105" w:type="dxa"/>
              <w:right w:w="105" w:type="dxa"/>
            </w:tcMar>
            <w:vAlign w:val="center"/>
          </w:tcPr>
          <w:p w14:paraId="3987E44E" w14:textId="6F5DA9C1" w:rsidR="13D05368" w:rsidRDefault="13D05368" w:rsidP="13D05368">
            <w:pPr>
              <w:spacing w:line="240" w:lineRule="auto"/>
              <w:jc w:val="center"/>
              <w:rPr>
                <w:rFonts w:eastAsia="Arial"/>
                <w:sz w:val="22"/>
              </w:rPr>
            </w:pPr>
            <w:r w:rsidRPr="13D05368">
              <w:rPr>
                <w:rFonts w:eastAsia="Arial"/>
                <w:sz w:val="22"/>
              </w:rPr>
              <w:t>-40 (-159,79)</w:t>
            </w:r>
          </w:p>
        </w:tc>
      </w:tr>
      <w:tr w:rsidR="13D05368" w14:paraId="479A9BDA" w14:textId="77777777" w:rsidTr="13D05368">
        <w:trPr>
          <w:trHeight w:val="300"/>
        </w:trPr>
        <w:tc>
          <w:tcPr>
            <w:tcW w:w="4065" w:type="dxa"/>
            <w:tcBorders>
              <w:top w:val="nil"/>
              <w:left w:val="nil"/>
              <w:bottom w:val="nil"/>
              <w:right w:val="single" w:sz="6" w:space="0" w:color="auto"/>
            </w:tcBorders>
            <w:tcMar>
              <w:left w:w="105" w:type="dxa"/>
              <w:right w:w="105" w:type="dxa"/>
            </w:tcMar>
            <w:vAlign w:val="center"/>
          </w:tcPr>
          <w:p w14:paraId="43C29B6C" w14:textId="20D513DD" w:rsidR="13D05368" w:rsidRDefault="13D05368" w:rsidP="13D05368">
            <w:pPr>
              <w:spacing w:line="240" w:lineRule="auto"/>
              <w:rPr>
                <w:rFonts w:eastAsia="Arial"/>
                <w:sz w:val="22"/>
              </w:rPr>
            </w:pPr>
            <w:r w:rsidRPr="13D05368">
              <w:rPr>
                <w:rFonts w:eastAsia="Arial"/>
                <w:b/>
                <w:bCs/>
                <w:sz w:val="22"/>
              </w:rPr>
              <w:t>Needed to See a Mental Health Provider due to FA?</w:t>
            </w:r>
            <w:r w:rsidRPr="13D05368">
              <w:rPr>
                <w:rFonts w:eastAsia="Arial"/>
                <w:sz w:val="22"/>
              </w:rPr>
              <w:t> </w:t>
            </w:r>
          </w:p>
        </w:tc>
        <w:tc>
          <w:tcPr>
            <w:tcW w:w="1805" w:type="dxa"/>
            <w:tcBorders>
              <w:top w:val="nil"/>
              <w:left w:val="single" w:sz="6" w:space="0" w:color="auto"/>
              <w:bottom w:val="nil"/>
              <w:right w:val="nil"/>
            </w:tcBorders>
            <w:tcMar>
              <w:left w:w="105" w:type="dxa"/>
              <w:right w:w="105" w:type="dxa"/>
            </w:tcMar>
            <w:vAlign w:val="center"/>
          </w:tcPr>
          <w:p w14:paraId="3277F06D" w14:textId="33659E66" w:rsidR="13D05368" w:rsidRDefault="13D05368" w:rsidP="13D05368">
            <w:pPr>
              <w:spacing w:line="240" w:lineRule="auto"/>
              <w:jc w:val="center"/>
              <w:rPr>
                <w:rFonts w:eastAsia="Arial"/>
                <w:sz w:val="22"/>
              </w:rPr>
            </w:pPr>
            <w:r w:rsidRPr="13D05368">
              <w:rPr>
                <w:rFonts w:eastAsia="Arial"/>
                <w:sz w:val="22"/>
              </w:rPr>
              <w:t>2956</w:t>
            </w:r>
            <w:r w:rsidRPr="13D05368">
              <w:rPr>
                <w:rFonts w:eastAsia="Arial"/>
                <w:sz w:val="22"/>
                <w:vertAlign w:val="superscript"/>
              </w:rPr>
              <w:t>*</w:t>
            </w:r>
            <w:r w:rsidRPr="13D05368">
              <w:rPr>
                <w:rFonts w:eastAsia="Arial"/>
                <w:sz w:val="22"/>
              </w:rPr>
              <w:t xml:space="preserve"> (191,5721)</w:t>
            </w:r>
          </w:p>
        </w:tc>
        <w:tc>
          <w:tcPr>
            <w:tcW w:w="1738" w:type="dxa"/>
            <w:tcBorders>
              <w:top w:val="nil"/>
              <w:left w:val="nil"/>
              <w:bottom w:val="nil"/>
              <w:right w:val="nil"/>
            </w:tcBorders>
            <w:tcMar>
              <w:left w:w="105" w:type="dxa"/>
              <w:right w:w="105" w:type="dxa"/>
            </w:tcMar>
            <w:vAlign w:val="center"/>
          </w:tcPr>
          <w:p w14:paraId="4F473AC5" w14:textId="31570750" w:rsidR="13D05368" w:rsidRDefault="13D05368" w:rsidP="13D05368">
            <w:pPr>
              <w:spacing w:line="240" w:lineRule="auto"/>
              <w:jc w:val="center"/>
              <w:rPr>
                <w:rFonts w:eastAsia="Arial"/>
                <w:sz w:val="22"/>
              </w:rPr>
            </w:pPr>
            <w:r w:rsidRPr="13D05368">
              <w:rPr>
                <w:rFonts w:eastAsia="Arial"/>
                <w:sz w:val="22"/>
              </w:rPr>
              <w:t>325 (-233,883)</w:t>
            </w:r>
          </w:p>
        </w:tc>
        <w:tc>
          <w:tcPr>
            <w:tcW w:w="1752" w:type="dxa"/>
            <w:tcBorders>
              <w:top w:val="nil"/>
              <w:left w:val="nil"/>
              <w:bottom w:val="nil"/>
              <w:right w:val="nil"/>
            </w:tcBorders>
            <w:tcMar>
              <w:left w:w="105" w:type="dxa"/>
              <w:right w:w="105" w:type="dxa"/>
            </w:tcMar>
            <w:vAlign w:val="center"/>
          </w:tcPr>
          <w:p w14:paraId="4C9E5B7D" w14:textId="45CDC882" w:rsidR="13D05368" w:rsidRDefault="13D05368" w:rsidP="13D05368">
            <w:pPr>
              <w:spacing w:line="240" w:lineRule="auto"/>
              <w:jc w:val="center"/>
              <w:rPr>
                <w:rFonts w:eastAsia="Arial"/>
                <w:sz w:val="22"/>
              </w:rPr>
            </w:pPr>
            <w:r w:rsidRPr="13D05368">
              <w:rPr>
                <w:rFonts w:eastAsia="Arial"/>
                <w:sz w:val="22"/>
              </w:rPr>
              <w:t>-153 (-382,76)</w:t>
            </w:r>
          </w:p>
        </w:tc>
      </w:tr>
      <w:tr w:rsidR="13D05368" w14:paraId="6D8AD185" w14:textId="77777777" w:rsidTr="13D05368">
        <w:trPr>
          <w:trHeight w:val="300"/>
        </w:trPr>
        <w:tc>
          <w:tcPr>
            <w:tcW w:w="4065" w:type="dxa"/>
            <w:tcBorders>
              <w:top w:val="nil"/>
              <w:left w:val="nil"/>
              <w:bottom w:val="nil"/>
              <w:right w:val="single" w:sz="6" w:space="0" w:color="auto"/>
            </w:tcBorders>
            <w:tcMar>
              <w:left w:w="105" w:type="dxa"/>
              <w:right w:w="105" w:type="dxa"/>
            </w:tcMar>
            <w:vAlign w:val="center"/>
          </w:tcPr>
          <w:p w14:paraId="01521443" w14:textId="397C1B14" w:rsidR="13D05368" w:rsidRDefault="13D05368" w:rsidP="13D05368">
            <w:pPr>
              <w:spacing w:line="240" w:lineRule="auto"/>
              <w:rPr>
                <w:rFonts w:eastAsia="Arial"/>
                <w:sz w:val="22"/>
              </w:rPr>
            </w:pPr>
            <w:r w:rsidRPr="13D05368">
              <w:rPr>
                <w:rFonts w:eastAsia="Arial"/>
                <w:b/>
                <w:bCs/>
                <w:sz w:val="22"/>
              </w:rPr>
              <w:t>Needed to See a Nutrition Provider due to FA?</w:t>
            </w:r>
            <w:r w:rsidRPr="13D05368">
              <w:rPr>
                <w:rFonts w:eastAsia="Arial"/>
                <w:sz w:val="22"/>
              </w:rPr>
              <w:t> </w:t>
            </w:r>
          </w:p>
        </w:tc>
        <w:tc>
          <w:tcPr>
            <w:tcW w:w="1805" w:type="dxa"/>
            <w:tcBorders>
              <w:top w:val="nil"/>
              <w:left w:val="single" w:sz="6" w:space="0" w:color="auto"/>
              <w:bottom w:val="nil"/>
              <w:right w:val="nil"/>
            </w:tcBorders>
            <w:tcMar>
              <w:left w:w="105" w:type="dxa"/>
              <w:right w:w="105" w:type="dxa"/>
            </w:tcMar>
            <w:vAlign w:val="center"/>
          </w:tcPr>
          <w:p w14:paraId="03C9E44F" w14:textId="15905489" w:rsidR="13D05368" w:rsidRDefault="13D05368" w:rsidP="13D05368">
            <w:pPr>
              <w:spacing w:line="240" w:lineRule="auto"/>
              <w:jc w:val="center"/>
              <w:rPr>
                <w:rFonts w:eastAsia="Arial"/>
                <w:sz w:val="22"/>
              </w:rPr>
            </w:pPr>
            <w:r w:rsidRPr="13D05368">
              <w:rPr>
                <w:rFonts w:eastAsia="Arial"/>
                <w:sz w:val="22"/>
              </w:rPr>
              <w:t>-631 (-2146,884)</w:t>
            </w:r>
          </w:p>
        </w:tc>
        <w:tc>
          <w:tcPr>
            <w:tcW w:w="1738" w:type="dxa"/>
            <w:tcBorders>
              <w:top w:val="nil"/>
              <w:left w:val="nil"/>
              <w:bottom w:val="nil"/>
              <w:right w:val="nil"/>
            </w:tcBorders>
            <w:tcMar>
              <w:left w:w="105" w:type="dxa"/>
              <w:right w:w="105" w:type="dxa"/>
            </w:tcMar>
            <w:vAlign w:val="center"/>
          </w:tcPr>
          <w:p w14:paraId="5F215664" w14:textId="77943063" w:rsidR="13D05368" w:rsidRDefault="13D05368" w:rsidP="13D05368">
            <w:pPr>
              <w:spacing w:line="240" w:lineRule="auto"/>
              <w:jc w:val="center"/>
              <w:rPr>
                <w:rFonts w:eastAsia="Arial"/>
                <w:sz w:val="22"/>
              </w:rPr>
            </w:pPr>
            <w:r w:rsidRPr="13D05368">
              <w:rPr>
                <w:rFonts w:eastAsia="Arial"/>
                <w:sz w:val="22"/>
              </w:rPr>
              <w:t>-67 (-360,227)</w:t>
            </w:r>
          </w:p>
        </w:tc>
        <w:tc>
          <w:tcPr>
            <w:tcW w:w="1752" w:type="dxa"/>
            <w:tcBorders>
              <w:top w:val="nil"/>
              <w:left w:val="nil"/>
              <w:bottom w:val="nil"/>
              <w:right w:val="nil"/>
            </w:tcBorders>
            <w:tcMar>
              <w:left w:w="105" w:type="dxa"/>
              <w:right w:w="105" w:type="dxa"/>
            </w:tcMar>
            <w:vAlign w:val="center"/>
          </w:tcPr>
          <w:p w14:paraId="4ECA609E" w14:textId="034CD25A" w:rsidR="13D05368" w:rsidRDefault="13D05368" w:rsidP="13D05368">
            <w:pPr>
              <w:spacing w:line="240" w:lineRule="auto"/>
              <w:jc w:val="center"/>
              <w:rPr>
                <w:rFonts w:eastAsia="Arial"/>
                <w:sz w:val="22"/>
              </w:rPr>
            </w:pPr>
            <w:r w:rsidRPr="13D05368">
              <w:rPr>
                <w:rFonts w:eastAsia="Arial"/>
                <w:sz w:val="22"/>
              </w:rPr>
              <w:t>99 (-60,259)</w:t>
            </w:r>
          </w:p>
        </w:tc>
      </w:tr>
      <w:tr w:rsidR="13D05368" w14:paraId="01B67B58" w14:textId="77777777" w:rsidTr="13D05368">
        <w:trPr>
          <w:trHeight w:val="300"/>
        </w:trPr>
        <w:tc>
          <w:tcPr>
            <w:tcW w:w="4065" w:type="dxa"/>
            <w:tcBorders>
              <w:top w:val="nil"/>
              <w:left w:val="nil"/>
              <w:bottom w:val="nil"/>
              <w:right w:val="single" w:sz="6" w:space="0" w:color="auto"/>
            </w:tcBorders>
            <w:tcMar>
              <w:left w:w="105" w:type="dxa"/>
              <w:right w:w="105" w:type="dxa"/>
            </w:tcMar>
            <w:vAlign w:val="center"/>
          </w:tcPr>
          <w:p w14:paraId="7895F4FD" w14:textId="2F8AE6E1" w:rsidR="13D05368" w:rsidRDefault="13D05368" w:rsidP="13D05368">
            <w:pPr>
              <w:spacing w:line="240" w:lineRule="auto"/>
              <w:rPr>
                <w:rFonts w:eastAsia="Arial"/>
                <w:sz w:val="22"/>
              </w:rPr>
            </w:pPr>
            <w:r w:rsidRPr="13D05368">
              <w:rPr>
                <w:rFonts w:eastAsia="Arial"/>
                <w:b/>
                <w:bCs/>
                <w:sz w:val="22"/>
              </w:rPr>
              <w:t>Number of Unique FAs</w:t>
            </w:r>
          </w:p>
        </w:tc>
        <w:tc>
          <w:tcPr>
            <w:tcW w:w="1805" w:type="dxa"/>
            <w:tcBorders>
              <w:top w:val="nil"/>
              <w:left w:val="single" w:sz="6" w:space="0" w:color="auto"/>
              <w:bottom w:val="nil"/>
              <w:right w:val="nil"/>
            </w:tcBorders>
            <w:tcMar>
              <w:left w:w="105" w:type="dxa"/>
              <w:right w:w="105" w:type="dxa"/>
            </w:tcMar>
            <w:vAlign w:val="center"/>
          </w:tcPr>
          <w:p w14:paraId="4CB658EF" w14:textId="24CCF7C4" w:rsidR="13D05368" w:rsidRDefault="13D05368" w:rsidP="13D05368">
            <w:pPr>
              <w:spacing w:line="240" w:lineRule="auto"/>
              <w:jc w:val="center"/>
              <w:rPr>
                <w:rFonts w:eastAsia="Arial"/>
                <w:sz w:val="22"/>
              </w:rPr>
            </w:pPr>
            <w:r w:rsidRPr="13D05368">
              <w:rPr>
                <w:rFonts w:eastAsia="Arial"/>
                <w:sz w:val="22"/>
              </w:rPr>
              <w:t>267</w:t>
            </w:r>
            <w:r w:rsidRPr="13D05368">
              <w:rPr>
                <w:rFonts w:eastAsia="Arial"/>
                <w:sz w:val="22"/>
                <w:vertAlign w:val="superscript"/>
              </w:rPr>
              <w:t>***</w:t>
            </w:r>
            <w:r w:rsidRPr="13D05368">
              <w:rPr>
                <w:rFonts w:eastAsia="Arial"/>
                <w:sz w:val="22"/>
              </w:rPr>
              <w:t xml:space="preserve"> (202,332)</w:t>
            </w:r>
          </w:p>
        </w:tc>
        <w:tc>
          <w:tcPr>
            <w:tcW w:w="1738" w:type="dxa"/>
            <w:tcBorders>
              <w:top w:val="nil"/>
              <w:left w:val="nil"/>
              <w:bottom w:val="nil"/>
              <w:right w:val="nil"/>
            </w:tcBorders>
            <w:tcMar>
              <w:left w:w="105" w:type="dxa"/>
              <w:right w:w="105" w:type="dxa"/>
            </w:tcMar>
            <w:vAlign w:val="center"/>
          </w:tcPr>
          <w:p w14:paraId="6A1FF806" w14:textId="2BF49F0A" w:rsidR="13D05368" w:rsidRDefault="13D05368" w:rsidP="13D05368">
            <w:pPr>
              <w:spacing w:line="240" w:lineRule="auto"/>
              <w:jc w:val="center"/>
              <w:rPr>
                <w:rFonts w:eastAsia="Arial"/>
                <w:sz w:val="22"/>
              </w:rPr>
            </w:pPr>
            <w:r w:rsidRPr="13D05368">
              <w:rPr>
                <w:rFonts w:eastAsia="Arial"/>
                <w:sz w:val="22"/>
              </w:rPr>
              <w:t>-58 (-155,40)</w:t>
            </w:r>
          </w:p>
        </w:tc>
        <w:tc>
          <w:tcPr>
            <w:tcW w:w="1752" w:type="dxa"/>
            <w:tcBorders>
              <w:top w:val="nil"/>
              <w:left w:val="nil"/>
              <w:bottom w:val="nil"/>
              <w:right w:val="nil"/>
            </w:tcBorders>
            <w:tcMar>
              <w:left w:w="105" w:type="dxa"/>
              <w:right w:w="105" w:type="dxa"/>
            </w:tcMar>
            <w:vAlign w:val="center"/>
          </w:tcPr>
          <w:p w14:paraId="09184A68" w14:textId="16816EFD" w:rsidR="13D05368" w:rsidRDefault="13D05368" w:rsidP="13D05368">
            <w:pPr>
              <w:spacing w:line="240" w:lineRule="auto"/>
              <w:jc w:val="center"/>
              <w:rPr>
                <w:rFonts w:eastAsia="Arial"/>
                <w:sz w:val="22"/>
              </w:rPr>
            </w:pPr>
            <w:r w:rsidRPr="13D05368">
              <w:rPr>
                <w:rFonts w:eastAsia="Arial"/>
                <w:sz w:val="22"/>
              </w:rPr>
              <w:t>-4 (-35,28)</w:t>
            </w:r>
          </w:p>
        </w:tc>
      </w:tr>
    </w:tbl>
    <w:p w14:paraId="798AC1F8" w14:textId="5620D28D" w:rsidR="004A351F" w:rsidRDefault="004A351F" w:rsidP="13D05368">
      <w:pPr>
        <w:rPr>
          <w:rFonts w:eastAsia="Arial"/>
          <w:color w:val="000000" w:themeColor="text1"/>
          <w:sz w:val="22"/>
        </w:rPr>
      </w:pPr>
    </w:p>
    <w:p w14:paraId="79593C32" w14:textId="77777777" w:rsidR="00AA5EEE" w:rsidRDefault="00AA5EEE" w:rsidP="13D05368">
      <w:pPr>
        <w:rPr>
          <w:rFonts w:eastAsia="Arial"/>
          <w:color w:val="000000" w:themeColor="text1"/>
          <w:sz w:val="22"/>
        </w:rPr>
      </w:pPr>
    </w:p>
    <w:p w14:paraId="0CAC35DA" w14:textId="60D41CD9" w:rsidR="004A351F" w:rsidRDefault="26207899" w:rsidP="13D05368">
      <w:pPr>
        <w:spacing w:line="240" w:lineRule="auto"/>
        <w:rPr>
          <w:rFonts w:eastAsia="Arial"/>
          <w:color w:val="000000" w:themeColor="text1"/>
          <w:sz w:val="22"/>
        </w:rPr>
      </w:pPr>
      <w:r w:rsidRPr="13D05368">
        <w:rPr>
          <w:rFonts w:eastAsia="Arial"/>
          <w:color w:val="000000" w:themeColor="text1"/>
          <w:sz w:val="22"/>
        </w:rPr>
        <w:lastRenderedPageBreak/>
        <w:t>Table 4. Logistic Regression for Various Economic Consequences of FA</w:t>
      </w:r>
    </w:p>
    <w:p w14:paraId="0926D2DD" w14:textId="72B8D530" w:rsidR="004A351F" w:rsidRDefault="004A351F" w:rsidP="13D05368">
      <w:pPr>
        <w:spacing w:line="240" w:lineRule="auto"/>
        <w:rPr>
          <w:rFonts w:eastAsia="Arial"/>
          <w:color w:val="000000" w:themeColor="text1"/>
          <w:sz w:val="22"/>
        </w:rPr>
      </w:pPr>
    </w:p>
    <w:tbl>
      <w:tblPr>
        <w:tblW w:w="946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75"/>
        <w:gridCol w:w="1177"/>
        <w:gridCol w:w="1177"/>
        <w:gridCol w:w="1281"/>
        <w:gridCol w:w="1177"/>
        <w:gridCol w:w="1177"/>
      </w:tblGrid>
      <w:tr w:rsidR="13D05368" w14:paraId="389ACC8C" w14:textId="77777777" w:rsidTr="003C655E">
        <w:trPr>
          <w:trHeight w:val="300"/>
        </w:trPr>
        <w:tc>
          <w:tcPr>
            <w:tcW w:w="3475" w:type="dxa"/>
            <w:tcBorders>
              <w:top w:val="nil"/>
              <w:left w:val="nil"/>
              <w:bottom w:val="single" w:sz="6" w:space="0" w:color="auto"/>
              <w:right w:val="single" w:sz="4" w:space="0" w:color="auto"/>
            </w:tcBorders>
            <w:tcMar>
              <w:top w:w="90" w:type="dxa"/>
              <w:left w:w="90" w:type="dxa"/>
              <w:right w:w="90" w:type="dxa"/>
            </w:tcMar>
            <w:vAlign w:val="center"/>
          </w:tcPr>
          <w:p w14:paraId="2F416400" w14:textId="4663E88D" w:rsidR="13D05368" w:rsidRDefault="13D05368" w:rsidP="13D05368">
            <w:pPr>
              <w:spacing w:line="240" w:lineRule="auto"/>
              <w:rPr>
                <w:rFonts w:eastAsia="Arial"/>
                <w:sz w:val="22"/>
              </w:rPr>
            </w:pPr>
            <w:r w:rsidRPr="13D05368">
              <w:rPr>
                <w:rFonts w:eastAsia="Arial"/>
                <w:b/>
                <w:bCs/>
                <w:sz w:val="22"/>
              </w:rPr>
              <w:t>Logistic Model (OR, 95% CI)</w:t>
            </w:r>
          </w:p>
        </w:tc>
        <w:tc>
          <w:tcPr>
            <w:tcW w:w="1177" w:type="dxa"/>
            <w:tcBorders>
              <w:top w:val="nil"/>
              <w:left w:val="single" w:sz="4" w:space="0" w:color="auto"/>
              <w:bottom w:val="single" w:sz="6" w:space="0" w:color="auto"/>
            </w:tcBorders>
            <w:tcMar>
              <w:top w:w="90" w:type="dxa"/>
              <w:left w:w="90" w:type="dxa"/>
              <w:right w:w="90" w:type="dxa"/>
            </w:tcMar>
            <w:vAlign w:val="center"/>
          </w:tcPr>
          <w:p w14:paraId="46FB322F" w14:textId="1C6FFD7F" w:rsidR="13D05368" w:rsidRDefault="13D05368" w:rsidP="13D05368">
            <w:pPr>
              <w:spacing w:line="240" w:lineRule="auto"/>
              <w:jc w:val="center"/>
              <w:rPr>
                <w:rFonts w:eastAsia="Arial"/>
                <w:sz w:val="22"/>
              </w:rPr>
            </w:pPr>
            <w:r w:rsidRPr="13D05368">
              <w:rPr>
                <w:rFonts w:eastAsia="Arial"/>
                <w:b/>
                <w:bCs/>
                <w:sz w:val="22"/>
              </w:rPr>
              <w:t>Any Lifestyle Changes</w:t>
            </w:r>
          </w:p>
        </w:tc>
        <w:tc>
          <w:tcPr>
            <w:tcW w:w="1177" w:type="dxa"/>
            <w:tcBorders>
              <w:top w:val="nil"/>
              <w:bottom w:val="single" w:sz="6" w:space="0" w:color="auto"/>
            </w:tcBorders>
            <w:tcMar>
              <w:top w:w="90" w:type="dxa"/>
              <w:left w:w="90" w:type="dxa"/>
              <w:right w:w="90" w:type="dxa"/>
            </w:tcMar>
            <w:vAlign w:val="center"/>
          </w:tcPr>
          <w:p w14:paraId="6D32BF5E" w14:textId="3544B6FF" w:rsidR="13D05368" w:rsidRDefault="13D05368" w:rsidP="13D05368">
            <w:pPr>
              <w:spacing w:line="240" w:lineRule="auto"/>
              <w:jc w:val="center"/>
              <w:rPr>
                <w:rFonts w:eastAsia="Arial"/>
                <w:sz w:val="22"/>
              </w:rPr>
            </w:pPr>
            <w:r w:rsidRPr="13D05368">
              <w:rPr>
                <w:rFonts w:eastAsia="Arial"/>
                <w:b/>
                <w:bCs/>
                <w:sz w:val="22"/>
              </w:rPr>
              <w:t>Any Work Changes</w:t>
            </w:r>
          </w:p>
        </w:tc>
        <w:tc>
          <w:tcPr>
            <w:tcW w:w="1281" w:type="dxa"/>
            <w:tcBorders>
              <w:top w:val="nil"/>
              <w:bottom w:val="single" w:sz="6" w:space="0" w:color="auto"/>
            </w:tcBorders>
            <w:tcMar>
              <w:top w:w="90" w:type="dxa"/>
              <w:left w:w="90" w:type="dxa"/>
              <w:right w:w="90" w:type="dxa"/>
            </w:tcMar>
            <w:vAlign w:val="center"/>
          </w:tcPr>
          <w:p w14:paraId="7C398FE4" w14:textId="33C7CC8E" w:rsidR="13D05368" w:rsidRDefault="13D05368" w:rsidP="13D05368">
            <w:pPr>
              <w:spacing w:line="240" w:lineRule="auto"/>
              <w:jc w:val="center"/>
              <w:rPr>
                <w:rFonts w:eastAsia="Arial"/>
                <w:sz w:val="22"/>
              </w:rPr>
            </w:pPr>
            <w:r w:rsidRPr="13D05368">
              <w:rPr>
                <w:rFonts w:eastAsia="Arial"/>
                <w:b/>
                <w:bCs/>
                <w:sz w:val="22"/>
              </w:rPr>
              <w:t>Any Missed Workdays</w:t>
            </w:r>
          </w:p>
        </w:tc>
        <w:tc>
          <w:tcPr>
            <w:tcW w:w="1177" w:type="dxa"/>
            <w:tcBorders>
              <w:top w:val="nil"/>
              <w:bottom w:val="single" w:sz="6" w:space="0" w:color="auto"/>
            </w:tcBorders>
            <w:tcMar>
              <w:top w:w="90" w:type="dxa"/>
              <w:left w:w="90" w:type="dxa"/>
              <w:right w:w="90" w:type="dxa"/>
            </w:tcMar>
            <w:vAlign w:val="center"/>
          </w:tcPr>
          <w:p w14:paraId="560EFA26" w14:textId="485B103B" w:rsidR="13D05368" w:rsidRDefault="13D05368" w:rsidP="13D05368">
            <w:pPr>
              <w:spacing w:line="240" w:lineRule="auto"/>
              <w:jc w:val="center"/>
              <w:rPr>
                <w:rFonts w:eastAsia="Arial"/>
                <w:sz w:val="22"/>
              </w:rPr>
            </w:pPr>
            <w:r w:rsidRPr="13D05368">
              <w:rPr>
                <w:rFonts w:eastAsia="Arial"/>
                <w:b/>
                <w:bCs/>
                <w:sz w:val="22"/>
              </w:rPr>
              <w:t>Worried About Running out of Food in Last 12 Months</w:t>
            </w:r>
          </w:p>
        </w:tc>
        <w:tc>
          <w:tcPr>
            <w:tcW w:w="1177" w:type="dxa"/>
            <w:tcBorders>
              <w:top w:val="nil"/>
              <w:bottom w:val="single" w:sz="6" w:space="0" w:color="auto"/>
              <w:right w:val="nil"/>
            </w:tcBorders>
            <w:tcMar>
              <w:top w:w="90" w:type="dxa"/>
              <w:left w:w="90" w:type="dxa"/>
              <w:right w:w="90" w:type="dxa"/>
            </w:tcMar>
            <w:vAlign w:val="center"/>
          </w:tcPr>
          <w:p w14:paraId="5D7D1AAE" w14:textId="59B94288" w:rsidR="13D05368" w:rsidRDefault="13D05368" w:rsidP="13D05368">
            <w:pPr>
              <w:spacing w:line="240" w:lineRule="auto"/>
              <w:jc w:val="center"/>
              <w:rPr>
                <w:rFonts w:eastAsia="Arial"/>
                <w:sz w:val="22"/>
              </w:rPr>
            </w:pPr>
            <w:r w:rsidRPr="13D05368">
              <w:rPr>
                <w:rFonts w:eastAsia="Arial"/>
                <w:b/>
                <w:bCs/>
                <w:sz w:val="22"/>
              </w:rPr>
              <w:t>Purchased Food Did not Last</w:t>
            </w:r>
          </w:p>
        </w:tc>
      </w:tr>
      <w:tr w:rsidR="13D05368" w14:paraId="7A6C3460" w14:textId="77777777" w:rsidTr="003C655E">
        <w:trPr>
          <w:trHeight w:val="300"/>
        </w:trPr>
        <w:tc>
          <w:tcPr>
            <w:tcW w:w="3475" w:type="dxa"/>
            <w:tcBorders>
              <w:top w:val="single" w:sz="6" w:space="0" w:color="auto"/>
              <w:left w:val="nil"/>
              <w:bottom w:val="nil"/>
              <w:right w:val="single" w:sz="6" w:space="0" w:color="auto"/>
            </w:tcBorders>
            <w:tcMar>
              <w:top w:w="90" w:type="dxa"/>
              <w:left w:w="90" w:type="dxa"/>
              <w:right w:w="90" w:type="dxa"/>
            </w:tcMar>
            <w:vAlign w:val="center"/>
          </w:tcPr>
          <w:p w14:paraId="03CB9008" w14:textId="6EE8BE4F" w:rsidR="13D05368" w:rsidRDefault="13D05368" w:rsidP="13D05368">
            <w:pPr>
              <w:spacing w:line="240" w:lineRule="auto"/>
              <w:rPr>
                <w:rFonts w:eastAsia="Arial"/>
                <w:sz w:val="22"/>
              </w:rPr>
            </w:pPr>
            <w:r w:rsidRPr="13D05368">
              <w:rPr>
                <w:rFonts w:eastAsia="Arial"/>
                <w:b/>
                <w:bCs/>
                <w:sz w:val="22"/>
              </w:rPr>
              <w:t>Household Income</w:t>
            </w:r>
          </w:p>
          <w:p w14:paraId="5F1E4294" w14:textId="180B8FA8" w:rsidR="13D05368" w:rsidRDefault="13D05368" w:rsidP="13D05368">
            <w:pPr>
              <w:spacing w:line="240" w:lineRule="auto"/>
              <w:rPr>
                <w:rFonts w:eastAsia="Arial"/>
                <w:sz w:val="22"/>
              </w:rPr>
            </w:pPr>
            <w:r w:rsidRPr="13D05368">
              <w:rPr>
                <w:rFonts w:eastAsia="Arial"/>
                <w:b/>
                <w:bCs/>
                <w:sz w:val="22"/>
              </w:rPr>
              <w:t>(Ref: &lt;$100k)</w:t>
            </w:r>
          </w:p>
        </w:tc>
        <w:tc>
          <w:tcPr>
            <w:tcW w:w="1177" w:type="dxa"/>
            <w:tcBorders>
              <w:top w:val="single" w:sz="6" w:space="0" w:color="auto"/>
              <w:left w:val="single" w:sz="6" w:space="0" w:color="auto"/>
            </w:tcBorders>
            <w:tcMar>
              <w:top w:w="90" w:type="dxa"/>
              <w:left w:w="90" w:type="dxa"/>
              <w:right w:w="90" w:type="dxa"/>
            </w:tcMar>
            <w:vAlign w:val="center"/>
          </w:tcPr>
          <w:p w14:paraId="046C0783" w14:textId="7B4F86A7" w:rsidR="13D05368" w:rsidRDefault="13D05368" w:rsidP="13D05368">
            <w:pPr>
              <w:spacing w:line="240" w:lineRule="auto"/>
              <w:jc w:val="center"/>
              <w:rPr>
                <w:rFonts w:eastAsia="Arial"/>
                <w:sz w:val="22"/>
              </w:rPr>
            </w:pPr>
          </w:p>
        </w:tc>
        <w:tc>
          <w:tcPr>
            <w:tcW w:w="1177" w:type="dxa"/>
            <w:tcBorders>
              <w:top w:val="single" w:sz="6" w:space="0" w:color="auto"/>
            </w:tcBorders>
            <w:tcMar>
              <w:top w:w="90" w:type="dxa"/>
              <w:left w:w="90" w:type="dxa"/>
              <w:right w:w="90" w:type="dxa"/>
            </w:tcMar>
            <w:vAlign w:val="center"/>
          </w:tcPr>
          <w:p w14:paraId="39D49D00" w14:textId="1EEE0541" w:rsidR="13D05368" w:rsidRDefault="13D05368" w:rsidP="13D05368">
            <w:pPr>
              <w:spacing w:line="240" w:lineRule="auto"/>
              <w:jc w:val="center"/>
              <w:rPr>
                <w:rFonts w:eastAsia="Arial"/>
                <w:sz w:val="22"/>
              </w:rPr>
            </w:pPr>
          </w:p>
        </w:tc>
        <w:tc>
          <w:tcPr>
            <w:tcW w:w="1281" w:type="dxa"/>
            <w:tcBorders>
              <w:top w:val="single" w:sz="6" w:space="0" w:color="auto"/>
            </w:tcBorders>
            <w:tcMar>
              <w:top w:w="90" w:type="dxa"/>
              <w:left w:w="90" w:type="dxa"/>
              <w:right w:w="90" w:type="dxa"/>
            </w:tcMar>
            <w:vAlign w:val="center"/>
          </w:tcPr>
          <w:p w14:paraId="3173AA69" w14:textId="0A887E22" w:rsidR="13D05368" w:rsidRDefault="13D05368" w:rsidP="13D05368">
            <w:pPr>
              <w:spacing w:line="240" w:lineRule="auto"/>
              <w:jc w:val="center"/>
              <w:rPr>
                <w:rFonts w:eastAsia="Arial"/>
                <w:sz w:val="22"/>
              </w:rPr>
            </w:pPr>
          </w:p>
        </w:tc>
        <w:tc>
          <w:tcPr>
            <w:tcW w:w="1177" w:type="dxa"/>
            <w:tcBorders>
              <w:top w:val="single" w:sz="6" w:space="0" w:color="auto"/>
            </w:tcBorders>
            <w:tcMar>
              <w:top w:w="90" w:type="dxa"/>
              <w:left w:w="90" w:type="dxa"/>
              <w:right w:w="90" w:type="dxa"/>
            </w:tcMar>
            <w:vAlign w:val="center"/>
          </w:tcPr>
          <w:p w14:paraId="230ACC58" w14:textId="749AE16A" w:rsidR="13D05368" w:rsidRDefault="13D05368" w:rsidP="13D05368">
            <w:pPr>
              <w:spacing w:line="240" w:lineRule="auto"/>
              <w:jc w:val="center"/>
              <w:rPr>
                <w:rFonts w:eastAsia="Arial"/>
                <w:sz w:val="22"/>
              </w:rPr>
            </w:pPr>
          </w:p>
        </w:tc>
        <w:tc>
          <w:tcPr>
            <w:tcW w:w="1177" w:type="dxa"/>
            <w:tcBorders>
              <w:top w:val="single" w:sz="6" w:space="0" w:color="auto"/>
              <w:bottom w:val="nil"/>
              <w:right w:val="nil"/>
            </w:tcBorders>
            <w:tcMar>
              <w:top w:w="90" w:type="dxa"/>
              <w:left w:w="90" w:type="dxa"/>
              <w:right w:w="90" w:type="dxa"/>
            </w:tcMar>
            <w:vAlign w:val="center"/>
          </w:tcPr>
          <w:p w14:paraId="5B17FB26" w14:textId="3406CC0B" w:rsidR="13D05368" w:rsidRDefault="13D05368" w:rsidP="13D05368">
            <w:pPr>
              <w:spacing w:line="240" w:lineRule="auto"/>
              <w:jc w:val="center"/>
              <w:rPr>
                <w:rFonts w:eastAsia="Arial"/>
                <w:sz w:val="22"/>
              </w:rPr>
            </w:pPr>
          </w:p>
        </w:tc>
      </w:tr>
      <w:tr w:rsidR="13D05368" w14:paraId="165405AA" w14:textId="77777777" w:rsidTr="003C655E">
        <w:trPr>
          <w:trHeight w:val="300"/>
        </w:trPr>
        <w:tc>
          <w:tcPr>
            <w:tcW w:w="3475" w:type="dxa"/>
            <w:tcBorders>
              <w:top w:val="nil"/>
              <w:left w:val="nil"/>
              <w:bottom w:val="nil"/>
              <w:right w:val="single" w:sz="6" w:space="0" w:color="auto"/>
            </w:tcBorders>
            <w:tcMar>
              <w:top w:w="90" w:type="dxa"/>
              <w:left w:w="90" w:type="dxa"/>
              <w:right w:w="90" w:type="dxa"/>
            </w:tcMar>
            <w:vAlign w:val="center"/>
          </w:tcPr>
          <w:p w14:paraId="01FABAE7" w14:textId="06582E38" w:rsidR="13D05368" w:rsidRDefault="13D05368" w:rsidP="13D05368">
            <w:pPr>
              <w:spacing w:line="240" w:lineRule="auto"/>
              <w:ind w:left="348" w:right="-112"/>
              <w:rPr>
                <w:rFonts w:eastAsia="Arial"/>
                <w:sz w:val="22"/>
              </w:rPr>
            </w:pPr>
            <w:r w:rsidRPr="13D05368">
              <w:rPr>
                <w:rFonts w:eastAsia="Arial"/>
                <w:sz w:val="22"/>
              </w:rPr>
              <w:t>$100k-200k</w:t>
            </w:r>
          </w:p>
        </w:tc>
        <w:tc>
          <w:tcPr>
            <w:tcW w:w="1177" w:type="dxa"/>
            <w:tcBorders>
              <w:left w:val="single" w:sz="6" w:space="0" w:color="auto"/>
            </w:tcBorders>
            <w:tcMar>
              <w:top w:w="90" w:type="dxa"/>
              <w:left w:w="90" w:type="dxa"/>
              <w:right w:w="90" w:type="dxa"/>
            </w:tcMar>
            <w:vAlign w:val="center"/>
          </w:tcPr>
          <w:p w14:paraId="638CA45D" w14:textId="65FAFAE4" w:rsidR="13D05368" w:rsidRDefault="13D05368" w:rsidP="13D05368">
            <w:pPr>
              <w:spacing w:line="240" w:lineRule="auto"/>
              <w:jc w:val="center"/>
              <w:rPr>
                <w:rFonts w:eastAsia="Arial"/>
                <w:sz w:val="22"/>
              </w:rPr>
            </w:pPr>
            <w:r w:rsidRPr="13D05368">
              <w:rPr>
                <w:rFonts w:eastAsia="Arial"/>
                <w:sz w:val="22"/>
              </w:rPr>
              <w:t>1.1 (0.7,1.7)</w:t>
            </w:r>
          </w:p>
        </w:tc>
        <w:tc>
          <w:tcPr>
            <w:tcW w:w="1177" w:type="dxa"/>
            <w:tcMar>
              <w:top w:w="90" w:type="dxa"/>
              <w:left w:w="90" w:type="dxa"/>
              <w:right w:w="90" w:type="dxa"/>
            </w:tcMar>
            <w:vAlign w:val="center"/>
          </w:tcPr>
          <w:p w14:paraId="1F5BF2FE" w14:textId="09080DD1" w:rsidR="13D05368" w:rsidRDefault="13D05368" w:rsidP="13D05368">
            <w:pPr>
              <w:spacing w:line="240" w:lineRule="auto"/>
              <w:jc w:val="center"/>
              <w:rPr>
                <w:rFonts w:eastAsia="Arial"/>
                <w:sz w:val="22"/>
              </w:rPr>
            </w:pPr>
            <w:r w:rsidRPr="13D05368">
              <w:rPr>
                <w:rFonts w:eastAsia="Arial"/>
                <w:sz w:val="22"/>
              </w:rPr>
              <w:t>1.3 (1.0,1.7)</w:t>
            </w:r>
          </w:p>
        </w:tc>
        <w:tc>
          <w:tcPr>
            <w:tcW w:w="1281" w:type="dxa"/>
            <w:tcMar>
              <w:top w:w="90" w:type="dxa"/>
              <w:left w:w="90" w:type="dxa"/>
              <w:right w:w="90" w:type="dxa"/>
            </w:tcMar>
            <w:vAlign w:val="center"/>
          </w:tcPr>
          <w:p w14:paraId="1B89B29B" w14:textId="72D78317" w:rsidR="13D05368" w:rsidRDefault="13D05368" w:rsidP="13D05368">
            <w:pPr>
              <w:spacing w:line="240" w:lineRule="auto"/>
              <w:jc w:val="center"/>
              <w:rPr>
                <w:rFonts w:eastAsia="Arial"/>
                <w:sz w:val="22"/>
              </w:rPr>
            </w:pPr>
            <w:r w:rsidRPr="13D05368">
              <w:rPr>
                <w:rFonts w:eastAsia="Arial"/>
                <w:sz w:val="22"/>
              </w:rPr>
              <w:t>1.0 (0.6,1.7)</w:t>
            </w:r>
          </w:p>
        </w:tc>
        <w:tc>
          <w:tcPr>
            <w:tcW w:w="1177" w:type="dxa"/>
            <w:tcMar>
              <w:top w:w="90" w:type="dxa"/>
              <w:left w:w="90" w:type="dxa"/>
              <w:right w:w="90" w:type="dxa"/>
            </w:tcMar>
            <w:vAlign w:val="center"/>
          </w:tcPr>
          <w:p w14:paraId="59A88D01" w14:textId="5B0C62A4" w:rsidR="13D05368" w:rsidRDefault="13D05368" w:rsidP="13D05368">
            <w:pPr>
              <w:spacing w:line="240" w:lineRule="auto"/>
              <w:jc w:val="center"/>
              <w:rPr>
                <w:rFonts w:eastAsia="Arial"/>
                <w:sz w:val="22"/>
              </w:rPr>
            </w:pPr>
            <w:r w:rsidRPr="13D05368">
              <w:rPr>
                <w:rFonts w:eastAsia="Arial"/>
                <w:sz w:val="22"/>
              </w:rPr>
              <w:t>0.1</w:t>
            </w:r>
            <w:r w:rsidRPr="13D05368">
              <w:rPr>
                <w:rFonts w:eastAsia="Arial"/>
                <w:sz w:val="22"/>
                <w:vertAlign w:val="superscript"/>
              </w:rPr>
              <w:t>**</w:t>
            </w:r>
            <w:r w:rsidRPr="13D05368">
              <w:rPr>
                <w:rFonts w:eastAsia="Arial"/>
                <w:sz w:val="22"/>
              </w:rPr>
              <w:t xml:space="preserve"> (0.0,0.5)</w:t>
            </w:r>
          </w:p>
        </w:tc>
        <w:tc>
          <w:tcPr>
            <w:tcW w:w="1177" w:type="dxa"/>
            <w:tcBorders>
              <w:top w:val="nil"/>
              <w:bottom w:val="nil"/>
              <w:right w:val="nil"/>
            </w:tcBorders>
            <w:tcMar>
              <w:top w:w="90" w:type="dxa"/>
              <w:left w:w="90" w:type="dxa"/>
              <w:right w:w="90" w:type="dxa"/>
            </w:tcMar>
            <w:vAlign w:val="center"/>
          </w:tcPr>
          <w:p w14:paraId="5A21D809" w14:textId="57A1D4E9" w:rsidR="13D05368" w:rsidRDefault="13D05368" w:rsidP="13D05368">
            <w:pPr>
              <w:spacing w:line="240" w:lineRule="auto"/>
              <w:jc w:val="center"/>
              <w:rPr>
                <w:rFonts w:eastAsia="Arial"/>
                <w:sz w:val="22"/>
              </w:rPr>
            </w:pPr>
            <w:r w:rsidRPr="13D05368">
              <w:rPr>
                <w:rFonts w:eastAsia="Arial"/>
                <w:sz w:val="22"/>
              </w:rPr>
              <w:t>0.0</w:t>
            </w:r>
            <w:r w:rsidRPr="13D05368">
              <w:rPr>
                <w:rFonts w:eastAsia="Arial"/>
                <w:sz w:val="22"/>
                <w:vertAlign w:val="superscript"/>
              </w:rPr>
              <w:t>*</w:t>
            </w:r>
            <w:r w:rsidRPr="13D05368">
              <w:rPr>
                <w:rFonts w:eastAsia="Arial"/>
                <w:sz w:val="22"/>
              </w:rPr>
              <w:t xml:space="preserve"> (0.0,0.5)</w:t>
            </w:r>
          </w:p>
        </w:tc>
      </w:tr>
      <w:tr w:rsidR="13D05368" w14:paraId="2959C78B" w14:textId="77777777" w:rsidTr="003C655E">
        <w:trPr>
          <w:trHeight w:val="300"/>
        </w:trPr>
        <w:tc>
          <w:tcPr>
            <w:tcW w:w="3475" w:type="dxa"/>
            <w:tcBorders>
              <w:top w:val="nil"/>
              <w:left w:val="nil"/>
              <w:bottom w:val="nil"/>
              <w:right w:val="single" w:sz="6" w:space="0" w:color="auto"/>
            </w:tcBorders>
            <w:tcMar>
              <w:top w:w="90" w:type="dxa"/>
              <w:left w:w="90" w:type="dxa"/>
              <w:right w:w="90" w:type="dxa"/>
            </w:tcMar>
            <w:vAlign w:val="center"/>
          </w:tcPr>
          <w:p w14:paraId="4E336A75" w14:textId="41097E13" w:rsidR="13D05368" w:rsidRDefault="13D05368" w:rsidP="13D05368">
            <w:pPr>
              <w:spacing w:line="240" w:lineRule="auto"/>
              <w:ind w:left="348" w:right="-112"/>
              <w:rPr>
                <w:rFonts w:eastAsia="Arial"/>
                <w:sz w:val="22"/>
              </w:rPr>
            </w:pPr>
            <w:r w:rsidRPr="13D05368">
              <w:rPr>
                <w:rFonts w:eastAsia="Arial"/>
                <w:sz w:val="22"/>
              </w:rPr>
              <w:t>200k+</w:t>
            </w:r>
          </w:p>
        </w:tc>
        <w:tc>
          <w:tcPr>
            <w:tcW w:w="1177" w:type="dxa"/>
            <w:tcBorders>
              <w:left w:val="single" w:sz="6" w:space="0" w:color="auto"/>
            </w:tcBorders>
            <w:tcMar>
              <w:top w:w="90" w:type="dxa"/>
              <w:left w:w="90" w:type="dxa"/>
              <w:right w:w="90" w:type="dxa"/>
            </w:tcMar>
            <w:vAlign w:val="center"/>
          </w:tcPr>
          <w:p w14:paraId="682EA8BF" w14:textId="00832247" w:rsidR="13D05368" w:rsidRDefault="13D05368" w:rsidP="13D05368">
            <w:pPr>
              <w:spacing w:line="240" w:lineRule="auto"/>
              <w:jc w:val="center"/>
              <w:rPr>
                <w:rFonts w:eastAsia="Arial"/>
                <w:sz w:val="22"/>
              </w:rPr>
            </w:pPr>
            <w:r w:rsidRPr="13D05368">
              <w:rPr>
                <w:rFonts w:eastAsia="Arial"/>
                <w:sz w:val="22"/>
              </w:rPr>
              <w:t>1.1 (0.7,1.6)</w:t>
            </w:r>
          </w:p>
        </w:tc>
        <w:tc>
          <w:tcPr>
            <w:tcW w:w="1177" w:type="dxa"/>
            <w:tcMar>
              <w:top w:w="90" w:type="dxa"/>
              <w:left w:w="90" w:type="dxa"/>
              <w:right w:w="90" w:type="dxa"/>
            </w:tcMar>
            <w:vAlign w:val="center"/>
          </w:tcPr>
          <w:p w14:paraId="4E9FA00D" w14:textId="5C4438B9" w:rsidR="13D05368" w:rsidRDefault="13D05368" w:rsidP="13D05368">
            <w:pPr>
              <w:spacing w:line="240" w:lineRule="auto"/>
              <w:jc w:val="center"/>
              <w:rPr>
                <w:rFonts w:eastAsia="Arial"/>
                <w:sz w:val="22"/>
              </w:rPr>
            </w:pPr>
            <w:r w:rsidRPr="13D05368">
              <w:rPr>
                <w:rFonts w:eastAsia="Arial"/>
                <w:sz w:val="22"/>
              </w:rPr>
              <w:t>1.2 (0.6,2.5)</w:t>
            </w:r>
          </w:p>
        </w:tc>
        <w:tc>
          <w:tcPr>
            <w:tcW w:w="1281" w:type="dxa"/>
            <w:tcMar>
              <w:top w:w="90" w:type="dxa"/>
              <w:left w:w="90" w:type="dxa"/>
              <w:right w:w="90" w:type="dxa"/>
            </w:tcMar>
            <w:vAlign w:val="center"/>
          </w:tcPr>
          <w:p w14:paraId="1E266C54" w14:textId="1D1CFB47" w:rsidR="13D05368" w:rsidRDefault="13D05368" w:rsidP="13D05368">
            <w:pPr>
              <w:spacing w:line="240" w:lineRule="auto"/>
              <w:jc w:val="center"/>
              <w:rPr>
                <w:rFonts w:eastAsia="Arial"/>
                <w:sz w:val="22"/>
              </w:rPr>
            </w:pPr>
            <w:r w:rsidRPr="13D05368">
              <w:rPr>
                <w:rFonts w:eastAsia="Arial"/>
                <w:sz w:val="22"/>
              </w:rPr>
              <w:t>1.0 (0.6,1.5)</w:t>
            </w:r>
          </w:p>
        </w:tc>
        <w:tc>
          <w:tcPr>
            <w:tcW w:w="1177" w:type="dxa"/>
            <w:tcMar>
              <w:top w:w="90" w:type="dxa"/>
              <w:left w:w="90" w:type="dxa"/>
              <w:right w:w="90" w:type="dxa"/>
            </w:tcMar>
            <w:vAlign w:val="center"/>
          </w:tcPr>
          <w:p w14:paraId="7BA22180" w14:textId="17D432E5" w:rsidR="13D05368" w:rsidRDefault="13D05368" w:rsidP="13D05368">
            <w:pPr>
              <w:spacing w:line="240" w:lineRule="auto"/>
              <w:jc w:val="center"/>
              <w:rPr>
                <w:rFonts w:eastAsia="Arial"/>
                <w:sz w:val="22"/>
              </w:rPr>
            </w:pPr>
            <w:r w:rsidRPr="13D05368">
              <w:rPr>
                <w:rFonts w:eastAsia="Arial"/>
                <w:sz w:val="22"/>
              </w:rPr>
              <w:t>0.1</w:t>
            </w:r>
            <w:r w:rsidRPr="13D05368">
              <w:rPr>
                <w:rFonts w:eastAsia="Arial"/>
                <w:sz w:val="22"/>
                <w:vertAlign w:val="superscript"/>
              </w:rPr>
              <w:t>***</w:t>
            </w:r>
            <w:r w:rsidRPr="13D05368">
              <w:rPr>
                <w:rFonts w:eastAsia="Arial"/>
                <w:sz w:val="22"/>
              </w:rPr>
              <w:t xml:space="preserve"> (0.0,0.3)</w:t>
            </w:r>
          </w:p>
        </w:tc>
        <w:tc>
          <w:tcPr>
            <w:tcW w:w="1177" w:type="dxa"/>
            <w:tcBorders>
              <w:top w:val="nil"/>
              <w:bottom w:val="nil"/>
              <w:right w:val="nil"/>
            </w:tcBorders>
            <w:tcMar>
              <w:top w:w="90" w:type="dxa"/>
              <w:left w:w="90" w:type="dxa"/>
              <w:right w:w="90" w:type="dxa"/>
            </w:tcMar>
            <w:vAlign w:val="center"/>
          </w:tcPr>
          <w:p w14:paraId="17004BE8" w14:textId="5EB9C0C4" w:rsidR="13D05368" w:rsidRDefault="13D05368" w:rsidP="13D05368">
            <w:pPr>
              <w:spacing w:line="240" w:lineRule="auto"/>
              <w:jc w:val="center"/>
              <w:rPr>
                <w:rFonts w:eastAsia="Arial"/>
                <w:sz w:val="22"/>
              </w:rPr>
            </w:pPr>
            <w:r w:rsidRPr="13D05368">
              <w:rPr>
                <w:rFonts w:eastAsia="Arial"/>
                <w:sz w:val="22"/>
              </w:rPr>
              <w:t>0.1</w:t>
            </w:r>
            <w:r w:rsidRPr="13D05368">
              <w:rPr>
                <w:rFonts w:eastAsia="Arial"/>
                <w:sz w:val="22"/>
                <w:vertAlign w:val="superscript"/>
              </w:rPr>
              <w:t>***</w:t>
            </w:r>
            <w:r w:rsidRPr="13D05368">
              <w:rPr>
                <w:rFonts w:eastAsia="Arial"/>
                <w:sz w:val="22"/>
              </w:rPr>
              <w:t xml:space="preserve"> (0.1,0.3)</w:t>
            </w:r>
          </w:p>
        </w:tc>
      </w:tr>
      <w:tr w:rsidR="13D05368" w14:paraId="4A8EF2EB" w14:textId="77777777" w:rsidTr="003C655E">
        <w:trPr>
          <w:trHeight w:val="300"/>
        </w:trPr>
        <w:tc>
          <w:tcPr>
            <w:tcW w:w="3475" w:type="dxa"/>
            <w:tcBorders>
              <w:top w:val="nil"/>
              <w:left w:val="nil"/>
              <w:bottom w:val="nil"/>
              <w:right w:val="single" w:sz="6" w:space="0" w:color="auto"/>
            </w:tcBorders>
            <w:tcMar>
              <w:top w:w="90" w:type="dxa"/>
              <w:left w:w="90" w:type="dxa"/>
              <w:right w:w="90" w:type="dxa"/>
            </w:tcMar>
            <w:vAlign w:val="center"/>
          </w:tcPr>
          <w:p w14:paraId="111AC0AE" w14:textId="47A499BC" w:rsidR="13D05368" w:rsidRDefault="13D05368" w:rsidP="13D05368">
            <w:pPr>
              <w:spacing w:line="240" w:lineRule="auto"/>
              <w:rPr>
                <w:rFonts w:eastAsia="Arial"/>
                <w:sz w:val="22"/>
              </w:rPr>
            </w:pPr>
            <w:r w:rsidRPr="13D05368">
              <w:rPr>
                <w:rFonts w:eastAsia="Arial"/>
                <w:b/>
                <w:bCs/>
                <w:sz w:val="22"/>
              </w:rPr>
              <w:t>Race and Ethnicity</w:t>
            </w:r>
            <w:r>
              <w:br/>
            </w:r>
            <w:r w:rsidRPr="13D05368">
              <w:rPr>
                <w:rFonts w:eastAsia="Arial"/>
                <w:b/>
                <w:bCs/>
                <w:sz w:val="22"/>
              </w:rPr>
              <w:t>(Ref: NHW)</w:t>
            </w:r>
          </w:p>
        </w:tc>
        <w:tc>
          <w:tcPr>
            <w:tcW w:w="1177" w:type="dxa"/>
            <w:tcBorders>
              <w:left w:val="single" w:sz="6" w:space="0" w:color="auto"/>
            </w:tcBorders>
            <w:tcMar>
              <w:top w:w="90" w:type="dxa"/>
              <w:left w:w="90" w:type="dxa"/>
              <w:right w:w="90" w:type="dxa"/>
            </w:tcMar>
            <w:vAlign w:val="center"/>
          </w:tcPr>
          <w:p w14:paraId="6CFBCD89" w14:textId="2D9B9599" w:rsidR="13D05368" w:rsidRDefault="13D05368" w:rsidP="13D05368">
            <w:pPr>
              <w:spacing w:line="240" w:lineRule="auto"/>
              <w:jc w:val="center"/>
              <w:rPr>
                <w:rFonts w:eastAsia="Arial"/>
                <w:sz w:val="22"/>
              </w:rPr>
            </w:pPr>
          </w:p>
        </w:tc>
        <w:tc>
          <w:tcPr>
            <w:tcW w:w="1177" w:type="dxa"/>
            <w:tcMar>
              <w:top w:w="90" w:type="dxa"/>
              <w:left w:w="90" w:type="dxa"/>
              <w:right w:w="90" w:type="dxa"/>
            </w:tcMar>
            <w:vAlign w:val="center"/>
          </w:tcPr>
          <w:p w14:paraId="70B325DB" w14:textId="7313ECDF" w:rsidR="13D05368" w:rsidRDefault="13D05368" w:rsidP="13D05368">
            <w:pPr>
              <w:spacing w:line="240" w:lineRule="auto"/>
              <w:jc w:val="center"/>
              <w:rPr>
                <w:rFonts w:eastAsia="Arial"/>
                <w:sz w:val="22"/>
              </w:rPr>
            </w:pPr>
          </w:p>
        </w:tc>
        <w:tc>
          <w:tcPr>
            <w:tcW w:w="1281" w:type="dxa"/>
            <w:tcMar>
              <w:top w:w="90" w:type="dxa"/>
              <w:left w:w="90" w:type="dxa"/>
              <w:right w:w="90" w:type="dxa"/>
            </w:tcMar>
            <w:vAlign w:val="center"/>
          </w:tcPr>
          <w:p w14:paraId="3F9821CF" w14:textId="2B7DEF79" w:rsidR="13D05368" w:rsidRDefault="13D05368" w:rsidP="13D05368">
            <w:pPr>
              <w:spacing w:line="240" w:lineRule="auto"/>
              <w:jc w:val="center"/>
              <w:rPr>
                <w:rFonts w:eastAsia="Arial"/>
                <w:sz w:val="22"/>
              </w:rPr>
            </w:pPr>
          </w:p>
        </w:tc>
        <w:tc>
          <w:tcPr>
            <w:tcW w:w="1177" w:type="dxa"/>
            <w:tcMar>
              <w:top w:w="90" w:type="dxa"/>
              <w:left w:w="90" w:type="dxa"/>
              <w:right w:w="90" w:type="dxa"/>
            </w:tcMar>
            <w:vAlign w:val="center"/>
          </w:tcPr>
          <w:p w14:paraId="70D0B1AF" w14:textId="33E3D001" w:rsidR="13D05368" w:rsidRDefault="13D05368" w:rsidP="13D05368">
            <w:pPr>
              <w:spacing w:line="240" w:lineRule="auto"/>
              <w:jc w:val="center"/>
              <w:rPr>
                <w:rFonts w:eastAsia="Arial"/>
                <w:sz w:val="22"/>
              </w:rPr>
            </w:pPr>
          </w:p>
        </w:tc>
        <w:tc>
          <w:tcPr>
            <w:tcW w:w="1177" w:type="dxa"/>
            <w:tcBorders>
              <w:top w:val="nil"/>
              <w:bottom w:val="nil"/>
              <w:right w:val="nil"/>
            </w:tcBorders>
            <w:tcMar>
              <w:top w:w="90" w:type="dxa"/>
              <w:left w:w="90" w:type="dxa"/>
              <w:right w:w="90" w:type="dxa"/>
            </w:tcMar>
            <w:vAlign w:val="center"/>
          </w:tcPr>
          <w:p w14:paraId="48CF9D73" w14:textId="78899DD9" w:rsidR="13D05368" w:rsidRDefault="13D05368" w:rsidP="13D05368">
            <w:pPr>
              <w:spacing w:line="240" w:lineRule="auto"/>
              <w:jc w:val="center"/>
              <w:rPr>
                <w:rFonts w:eastAsia="Arial"/>
                <w:sz w:val="22"/>
              </w:rPr>
            </w:pPr>
          </w:p>
        </w:tc>
      </w:tr>
      <w:tr w:rsidR="13D05368" w14:paraId="12CAB3E3" w14:textId="77777777" w:rsidTr="003C655E">
        <w:trPr>
          <w:trHeight w:val="300"/>
        </w:trPr>
        <w:tc>
          <w:tcPr>
            <w:tcW w:w="3475" w:type="dxa"/>
            <w:tcBorders>
              <w:top w:val="nil"/>
              <w:left w:val="nil"/>
              <w:bottom w:val="nil"/>
              <w:right w:val="single" w:sz="6" w:space="0" w:color="auto"/>
            </w:tcBorders>
            <w:tcMar>
              <w:top w:w="90" w:type="dxa"/>
              <w:left w:w="90" w:type="dxa"/>
              <w:right w:w="90" w:type="dxa"/>
            </w:tcMar>
            <w:vAlign w:val="center"/>
          </w:tcPr>
          <w:p w14:paraId="5E87ED64" w14:textId="13FFB839" w:rsidR="13D05368" w:rsidRDefault="13D05368" w:rsidP="13D05368">
            <w:pPr>
              <w:spacing w:line="240" w:lineRule="auto"/>
              <w:ind w:left="348"/>
              <w:rPr>
                <w:rFonts w:eastAsia="Arial"/>
                <w:sz w:val="22"/>
              </w:rPr>
            </w:pPr>
            <w:r w:rsidRPr="13D05368">
              <w:rPr>
                <w:rFonts w:eastAsia="Arial"/>
                <w:sz w:val="22"/>
              </w:rPr>
              <w:t>NHB</w:t>
            </w:r>
          </w:p>
        </w:tc>
        <w:tc>
          <w:tcPr>
            <w:tcW w:w="1177" w:type="dxa"/>
            <w:tcBorders>
              <w:left w:val="single" w:sz="6" w:space="0" w:color="auto"/>
            </w:tcBorders>
            <w:tcMar>
              <w:top w:w="90" w:type="dxa"/>
              <w:left w:w="90" w:type="dxa"/>
              <w:right w:w="90" w:type="dxa"/>
            </w:tcMar>
            <w:vAlign w:val="center"/>
          </w:tcPr>
          <w:p w14:paraId="4F3343E8" w14:textId="200DCA53" w:rsidR="13D05368" w:rsidRDefault="13D05368" w:rsidP="13D05368">
            <w:pPr>
              <w:spacing w:line="240" w:lineRule="auto"/>
              <w:jc w:val="center"/>
              <w:rPr>
                <w:rFonts w:eastAsia="Arial"/>
                <w:sz w:val="22"/>
              </w:rPr>
            </w:pPr>
            <w:r w:rsidRPr="13D05368">
              <w:rPr>
                <w:rFonts w:eastAsia="Arial"/>
                <w:sz w:val="22"/>
              </w:rPr>
              <w:t>0.4</w:t>
            </w:r>
            <w:r w:rsidRPr="13D05368">
              <w:rPr>
                <w:rFonts w:eastAsia="Arial"/>
                <w:sz w:val="22"/>
                <w:vertAlign w:val="superscript"/>
              </w:rPr>
              <w:t>***</w:t>
            </w:r>
            <w:r w:rsidRPr="13D05368">
              <w:rPr>
                <w:rFonts w:eastAsia="Arial"/>
                <w:sz w:val="22"/>
              </w:rPr>
              <w:t xml:space="preserve"> (0.3,0.7)</w:t>
            </w:r>
          </w:p>
        </w:tc>
        <w:tc>
          <w:tcPr>
            <w:tcW w:w="1177" w:type="dxa"/>
            <w:tcMar>
              <w:top w:w="90" w:type="dxa"/>
              <w:left w:w="90" w:type="dxa"/>
              <w:right w:w="90" w:type="dxa"/>
            </w:tcMar>
            <w:vAlign w:val="center"/>
          </w:tcPr>
          <w:p w14:paraId="14023B1A" w14:textId="3D38B80A" w:rsidR="13D05368" w:rsidRDefault="13D05368" w:rsidP="13D05368">
            <w:pPr>
              <w:spacing w:line="240" w:lineRule="auto"/>
              <w:jc w:val="center"/>
              <w:rPr>
                <w:rFonts w:eastAsia="Arial"/>
                <w:sz w:val="22"/>
              </w:rPr>
            </w:pPr>
            <w:r w:rsidRPr="13D05368">
              <w:rPr>
                <w:rFonts w:eastAsia="Arial"/>
                <w:sz w:val="22"/>
              </w:rPr>
              <w:t>1.2 (0.6,2.6)</w:t>
            </w:r>
          </w:p>
        </w:tc>
        <w:tc>
          <w:tcPr>
            <w:tcW w:w="1281" w:type="dxa"/>
            <w:tcMar>
              <w:top w:w="90" w:type="dxa"/>
              <w:left w:w="90" w:type="dxa"/>
              <w:right w:w="90" w:type="dxa"/>
            </w:tcMar>
            <w:vAlign w:val="center"/>
          </w:tcPr>
          <w:p w14:paraId="393EE444" w14:textId="1BD40293" w:rsidR="13D05368" w:rsidRDefault="13D05368" w:rsidP="13D05368">
            <w:pPr>
              <w:spacing w:line="240" w:lineRule="auto"/>
              <w:jc w:val="center"/>
              <w:rPr>
                <w:rFonts w:eastAsia="Arial"/>
                <w:sz w:val="22"/>
              </w:rPr>
            </w:pPr>
            <w:r w:rsidRPr="13D05368">
              <w:rPr>
                <w:rFonts w:eastAsia="Arial"/>
                <w:sz w:val="22"/>
              </w:rPr>
              <w:t>1.5 (0.9,2.3)</w:t>
            </w:r>
          </w:p>
        </w:tc>
        <w:tc>
          <w:tcPr>
            <w:tcW w:w="1177" w:type="dxa"/>
            <w:tcMar>
              <w:top w:w="90" w:type="dxa"/>
              <w:left w:w="90" w:type="dxa"/>
              <w:right w:w="90" w:type="dxa"/>
            </w:tcMar>
            <w:vAlign w:val="center"/>
          </w:tcPr>
          <w:p w14:paraId="40794D58" w14:textId="07FD1044" w:rsidR="13D05368" w:rsidRDefault="13D05368" w:rsidP="13D05368">
            <w:pPr>
              <w:spacing w:line="240" w:lineRule="auto"/>
              <w:jc w:val="center"/>
              <w:rPr>
                <w:rFonts w:eastAsia="Arial"/>
                <w:sz w:val="22"/>
              </w:rPr>
            </w:pPr>
            <w:r w:rsidRPr="13D05368">
              <w:rPr>
                <w:rFonts w:eastAsia="Arial"/>
                <w:sz w:val="22"/>
              </w:rPr>
              <w:t>5.5</w:t>
            </w:r>
            <w:r w:rsidRPr="13D05368">
              <w:rPr>
                <w:rFonts w:eastAsia="Arial"/>
                <w:sz w:val="22"/>
                <w:vertAlign w:val="superscript"/>
              </w:rPr>
              <w:t>***</w:t>
            </w:r>
            <w:r w:rsidRPr="13D05368">
              <w:rPr>
                <w:rFonts w:eastAsia="Arial"/>
                <w:sz w:val="22"/>
              </w:rPr>
              <w:t xml:space="preserve"> (2.3,13.1)</w:t>
            </w:r>
          </w:p>
        </w:tc>
        <w:tc>
          <w:tcPr>
            <w:tcW w:w="1177" w:type="dxa"/>
            <w:tcBorders>
              <w:top w:val="nil"/>
              <w:bottom w:val="nil"/>
              <w:right w:val="nil"/>
            </w:tcBorders>
            <w:tcMar>
              <w:top w:w="90" w:type="dxa"/>
              <w:left w:w="90" w:type="dxa"/>
              <w:right w:w="90" w:type="dxa"/>
            </w:tcMar>
            <w:vAlign w:val="center"/>
          </w:tcPr>
          <w:p w14:paraId="40A43BC6" w14:textId="6255E362" w:rsidR="13D05368" w:rsidRDefault="13D05368" w:rsidP="13D05368">
            <w:pPr>
              <w:spacing w:line="240" w:lineRule="auto"/>
              <w:jc w:val="center"/>
              <w:rPr>
                <w:rFonts w:eastAsia="Arial"/>
                <w:sz w:val="22"/>
              </w:rPr>
            </w:pPr>
            <w:r w:rsidRPr="13D05368">
              <w:rPr>
                <w:rFonts w:eastAsia="Arial"/>
                <w:sz w:val="22"/>
              </w:rPr>
              <w:t>5.4</w:t>
            </w:r>
            <w:r w:rsidRPr="13D05368">
              <w:rPr>
                <w:rFonts w:eastAsia="Arial"/>
                <w:sz w:val="22"/>
                <w:vertAlign w:val="superscript"/>
              </w:rPr>
              <w:t>**</w:t>
            </w:r>
            <w:r w:rsidRPr="13D05368">
              <w:rPr>
                <w:rFonts w:eastAsia="Arial"/>
                <w:sz w:val="22"/>
              </w:rPr>
              <w:t xml:space="preserve"> (1.5,19.5)</w:t>
            </w:r>
          </w:p>
        </w:tc>
      </w:tr>
      <w:tr w:rsidR="13D05368" w14:paraId="19E9E884" w14:textId="77777777" w:rsidTr="003C655E">
        <w:trPr>
          <w:trHeight w:val="300"/>
        </w:trPr>
        <w:tc>
          <w:tcPr>
            <w:tcW w:w="3475" w:type="dxa"/>
            <w:tcBorders>
              <w:top w:val="nil"/>
              <w:left w:val="nil"/>
              <w:bottom w:val="nil"/>
              <w:right w:val="single" w:sz="6" w:space="0" w:color="auto"/>
            </w:tcBorders>
            <w:tcMar>
              <w:top w:w="90" w:type="dxa"/>
              <w:left w:w="90" w:type="dxa"/>
              <w:right w:w="90" w:type="dxa"/>
            </w:tcMar>
            <w:vAlign w:val="center"/>
          </w:tcPr>
          <w:p w14:paraId="5198CA73" w14:textId="5ED1C52A" w:rsidR="13D05368" w:rsidRDefault="13D05368" w:rsidP="13D05368">
            <w:pPr>
              <w:spacing w:line="240" w:lineRule="auto"/>
              <w:ind w:left="348"/>
              <w:rPr>
                <w:rFonts w:eastAsia="Arial"/>
                <w:sz w:val="22"/>
              </w:rPr>
            </w:pPr>
            <w:r w:rsidRPr="13D05368">
              <w:rPr>
                <w:rFonts w:eastAsia="Arial"/>
                <w:sz w:val="22"/>
              </w:rPr>
              <w:t>H/L</w:t>
            </w:r>
          </w:p>
        </w:tc>
        <w:tc>
          <w:tcPr>
            <w:tcW w:w="1177" w:type="dxa"/>
            <w:tcBorders>
              <w:left w:val="single" w:sz="6" w:space="0" w:color="auto"/>
            </w:tcBorders>
            <w:tcMar>
              <w:top w:w="90" w:type="dxa"/>
              <w:left w:w="90" w:type="dxa"/>
              <w:right w:w="90" w:type="dxa"/>
            </w:tcMar>
            <w:vAlign w:val="center"/>
          </w:tcPr>
          <w:p w14:paraId="52031622" w14:textId="38B1E90B" w:rsidR="13D05368" w:rsidRDefault="13D05368" w:rsidP="13D05368">
            <w:pPr>
              <w:spacing w:line="240" w:lineRule="auto"/>
              <w:jc w:val="center"/>
              <w:rPr>
                <w:rFonts w:eastAsia="Arial"/>
                <w:sz w:val="22"/>
              </w:rPr>
            </w:pPr>
            <w:r w:rsidRPr="13D05368">
              <w:rPr>
                <w:rFonts w:eastAsia="Arial"/>
                <w:sz w:val="22"/>
              </w:rPr>
              <w:t>1.1 (0.7,1.7)</w:t>
            </w:r>
          </w:p>
        </w:tc>
        <w:tc>
          <w:tcPr>
            <w:tcW w:w="1177" w:type="dxa"/>
            <w:tcMar>
              <w:top w:w="90" w:type="dxa"/>
              <w:left w:w="90" w:type="dxa"/>
              <w:right w:w="90" w:type="dxa"/>
            </w:tcMar>
            <w:vAlign w:val="center"/>
          </w:tcPr>
          <w:p w14:paraId="5A58E245" w14:textId="3DFAEAD3" w:rsidR="13D05368" w:rsidRDefault="13D05368" w:rsidP="13D05368">
            <w:pPr>
              <w:spacing w:line="240" w:lineRule="auto"/>
              <w:jc w:val="center"/>
              <w:rPr>
                <w:rFonts w:eastAsia="Arial"/>
                <w:sz w:val="22"/>
              </w:rPr>
            </w:pPr>
            <w:r w:rsidRPr="13D05368">
              <w:rPr>
                <w:rFonts w:eastAsia="Arial"/>
                <w:sz w:val="22"/>
              </w:rPr>
              <w:t>1.1 (0.4,3.1)</w:t>
            </w:r>
          </w:p>
        </w:tc>
        <w:tc>
          <w:tcPr>
            <w:tcW w:w="1281" w:type="dxa"/>
            <w:tcMar>
              <w:top w:w="90" w:type="dxa"/>
              <w:left w:w="90" w:type="dxa"/>
              <w:right w:w="90" w:type="dxa"/>
            </w:tcMar>
            <w:vAlign w:val="center"/>
          </w:tcPr>
          <w:p w14:paraId="6B2BA4FF" w14:textId="5887CF24" w:rsidR="13D05368" w:rsidRDefault="13D05368" w:rsidP="13D05368">
            <w:pPr>
              <w:spacing w:line="240" w:lineRule="auto"/>
              <w:jc w:val="center"/>
              <w:rPr>
                <w:rFonts w:eastAsia="Arial"/>
                <w:sz w:val="22"/>
              </w:rPr>
            </w:pPr>
            <w:r w:rsidRPr="13D05368">
              <w:rPr>
                <w:rFonts w:eastAsia="Arial"/>
                <w:sz w:val="22"/>
              </w:rPr>
              <w:t>1.7 (0.6,4.7)</w:t>
            </w:r>
          </w:p>
        </w:tc>
        <w:tc>
          <w:tcPr>
            <w:tcW w:w="1177" w:type="dxa"/>
            <w:tcMar>
              <w:top w:w="90" w:type="dxa"/>
              <w:left w:w="90" w:type="dxa"/>
              <w:right w:w="90" w:type="dxa"/>
            </w:tcMar>
            <w:vAlign w:val="center"/>
          </w:tcPr>
          <w:p w14:paraId="2A96B304" w14:textId="1650A432" w:rsidR="13D05368" w:rsidRDefault="13D05368" w:rsidP="13D05368">
            <w:pPr>
              <w:spacing w:line="240" w:lineRule="auto"/>
              <w:jc w:val="center"/>
              <w:rPr>
                <w:rFonts w:eastAsia="Arial"/>
                <w:sz w:val="22"/>
              </w:rPr>
            </w:pPr>
            <w:r w:rsidRPr="13D05368">
              <w:rPr>
                <w:rFonts w:eastAsia="Arial"/>
                <w:sz w:val="22"/>
              </w:rPr>
              <w:t>16.4</w:t>
            </w:r>
            <w:r w:rsidRPr="13D05368">
              <w:rPr>
                <w:rFonts w:eastAsia="Arial"/>
                <w:sz w:val="22"/>
                <w:vertAlign w:val="superscript"/>
              </w:rPr>
              <w:t>***</w:t>
            </w:r>
            <w:r w:rsidRPr="13D05368">
              <w:rPr>
                <w:rFonts w:eastAsia="Arial"/>
                <w:sz w:val="22"/>
              </w:rPr>
              <w:t xml:space="preserve"> (4.3,63.2)</w:t>
            </w:r>
          </w:p>
        </w:tc>
        <w:tc>
          <w:tcPr>
            <w:tcW w:w="1177" w:type="dxa"/>
            <w:tcBorders>
              <w:top w:val="nil"/>
              <w:bottom w:val="nil"/>
              <w:right w:val="nil"/>
            </w:tcBorders>
            <w:tcMar>
              <w:top w:w="90" w:type="dxa"/>
              <w:left w:w="90" w:type="dxa"/>
              <w:right w:w="90" w:type="dxa"/>
            </w:tcMar>
            <w:vAlign w:val="center"/>
          </w:tcPr>
          <w:p w14:paraId="29440AC4" w14:textId="0E70EAF1" w:rsidR="13D05368" w:rsidRDefault="13D05368" w:rsidP="13D05368">
            <w:pPr>
              <w:spacing w:line="240" w:lineRule="auto"/>
              <w:jc w:val="center"/>
              <w:rPr>
                <w:rFonts w:eastAsia="Arial"/>
                <w:sz w:val="22"/>
              </w:rPr>
            </w:pPr>
            <w:r w:rsidRPr="13D05368">
              <w:rPr>
                <w:rFonts w:eastAsia="Arial"/>
                <w:sz w:val="22"/>
              </w:rPr>
              <w:t>10.8</w:t>
            </w:r>
            <w:r w:rsidRPr="13D05368">
              <w:rPr>
                <w:rFonts w:eastAsia="Arial"/>
                <w:sz w:val="22"/>
                <w:vertAlign w:val="superscript"/>
              </w:rPr>
              <w:t>***</w:t>
            </w:r>
            <w:r w:rsidRPr="13D05368">
              <w:rPr>
                <w:rFonts w:eastAsia="Arial"/>
                <w:sz w:val="22"/>
              </w:rPr>
              <w:t xml:space="preserve"> (6.5,17.8)</w:t>
            </w:r>
          </w:p>
        </w:tc>
      </w:tr>
      <w:tr w:rsidR="13D05368" w14:paraId="45FE6C9E" w14:textId="77777777" w:rsidTr="003C655E">
        <w:trPr>
          <w:trHeight w:val="300"/>
        </w:trPr>
        <w:tc>
          <w:tcPr>
            <w:tcW w:w="3475" w:type="dxa"/>
            <w:tcBorders>
              <w:top w:val="nil"/>
              <w:left w:val="nil"/>
              <w:bottom w:val="nil"/>
              <w:right w:val="single" w:sz="6" w:space="0" w:color="auto"/>
            </w:tcBorders>
            <w:tcMar>
              <w:top w:w="90" w:type="dxa"/>
              <w:left w:w="90" w:type="dxa"/>
              <w:right w:w="90" w:type="dxa"/>
            </w:tcMar>
            <w:vAlign w:val="center"/>
          </w:tcPr>
          <w:p w14:paraId="479AFC78" w14:textId="4142BF01" w:rsidR="13D05368" w:rsidRDefault="13D05368" w:rsidP="13D05368">
            <w:pPr>
              <w:spacing w:line="240" w:lineRule="auto"/>
              <w:rPr>
                <w:rFonts w:eastAsia="Arial"/>
                <w:sz w:val="22"/>
              </w:rPr>
            </w:pPr>
            <w:r w:rsidRPr="13D05368">
              <w:rPr>
                <w:rFonts w:eastAsia="Arial"/>
                <w:b/>
                <w:bCs/>
                <w:sz w:val="22"/>
              </w:rPr>
              <w:t xml:space="preserve">Gender </w:t>
            </w:r>
          </w:p>
          <w:p w14:paraId="6EBC1E12" w14:textId="385952E6" w:rsidR="13D05368" w:rsidRDefault="13D05368" w:rsidP="13D05368">
            <w:pPr>
              <w:spacing w:line="240" w:lineRule="auto"/>
              <w:rPr>
                <w:rFonts w:eastAsia="Arial"/>
                <w:sz w:val="22"/>
              </w:rPr>
            </w:pPr>
            <w:r w:rsidRPr="13D05368">
              <w:rPr>
                <w:rFonts w:eastAsia="Arial"/>
                <w:b/>
                <w:bCs/>
                <w:sz w:val="22"/>
              </w:rPr>
              <w:t>(Ref: Male)</w:t>
            </w:r>
          </w:p>
        </w:tc>
        <w:tc>
          <w:tcPr>
            <w:tcW w:w="1177" w:type="dxa"/>
            <w:tcBorders>
              <w:left w:val="single" w:sz="6" w:space="0" w:color="auto"/>
            </w:tcBorders>
            <w:tcMar>
              <w:top w:w="90" w:type="dxa"/>
              <w:left w:w="90" w:type="dxa"/>
              <w:right w:w="90" w:type="dxa"/>
            </w:tcMar>
            <w:vAlign w:val="center"/>
          </w:tcPr>
          <w:p w14:paraId="2C9DB5F6" w14:textId="6800BDF3" w:rsidR="13D05368" w:rsidRDefault="13D05368" w:rsidP="13D05368">
            <w:pPr>
              <w:spacing w:line="240" w:lineRule="auto"/>
              <w:jc w:val="center"/>
              <w:rPr>
                <w:rFonts w:eastAsia="Arial"/>
                <w:sz w:val="22"/>
              </w:rPr>
            </w:pPr>
          </w:p>
        </w:tc>
        <w:tc>
          <w:tcPr>
            <w:tcW w:w="1177" w:type="dxa"/>
            <w:tcMar>
              <w:top w:w="90" w:type="dxa"/>
              <w:left w:w="90" w:type="dxa"/>
              <w:right w:w="90" w:type="dxa"/>
            </w:tcMar>
            <w:vAlign w:val="center"/>
          </w:tcPr>
          <w:p w14:paraId="562FEFB2" w14:textId="011E12C2" w:rsidR="13D05368" w:rsidRDefault="13D05368" w:rsidP="13D05368">
            <w:pPr>
              <w:spacing w:line="240" w:lineRule="auto"/>
              <w:jc w:val="center"/>
              <w:rPr>
                <w:rFonts w:eastAsia="Arial"/>
                <w:sz w:val="22"/>
              </w:rPr>
            </w:pPr>
          </w:p>
        </w:tc>
        <w:tc>
          <w:tcPr>
            <w:tcW w:w="1281" w:type="dxa"/>
            <w:tcMar>
              <w:top w:w="90" w:type="dxa"/>
              <w:left w:w="90" w:type="dxa"/>
              <w:right w:w="90" w:type="dxa"/>
            </w:tcMar>
            <w:vAlign w:val="center"/>
          </w:tcPr>
          <w:p w14:paraId="42CE69D5" w14:textId="10FB5794" w:rsidR="13D05368" w:rsidRDefault="13D05368" w:rsidP="13D05368">
            <w:pPr>
              <w:spacing w:line="240" w:lineRule="auto"/>
              <w:jc w:val="center"/>
              <w:rPr>
                <w:rFonts w:eastAsia="Arial"/>
                <w:sz w:val="22"/>
              </w:rPr>
            </w:pPr>
          </w:p>
        </w:tc>
        <w:tc>
          <w:tcPr>
            <w:tcW w:w="1177" w:type="dxa"/>
            <w:tcMar>
              <w:top w:w="90" w:type="dxa"/>
              <w:left w:w="90" w:type="dxa"/>
              <w:right w:w="90" w:type="dxa"/>
            </w:tcMar>
            <w:vAlign w:val="center"/>
          </w:tcPr>
          <w:p w14:paraId="25C13974" w14:textId="2B98AEF4" w:rsidR="13D05368" w:rsidRDefault="13D05368" w:rsidP="13D05368">
            <w:pPr>
              <w:spacing w:line="240" w:lineRule="auto"/>
              <w:jc w:val="center"/>
              <w:rPr>
                <w:rFonts w:eastAsia="Arial"/>
                <w:sz w:val="22"/>
              </w:rPr>
            </w:pPr>
          </w:p>
        </w:tc>
        <w:tc>
          <w:tcPr>
            <w:tcW w:w="1177" w:type="dxa"/>
            <w:tcBorders>
              <w:top w:val="nil"/>
              <w:bottom w:val="nil"/>
              <w:right w:val="nil"/>
            </w:tcBorders>
            <w:tcMar>
              <w:top w:w="90" w:type="dxa"/>
              <w:left w:w="90" w:type="dxa"/>
              <w:right w:w="90" w:type="dxa"/>
            </w:tcMar>
            <w:vAlign w:val="center"/>
          </w:tcPr>
          <w:p w14:paraId="33ECF973" w14:textId="52C544BB" w:rsidR="13D05368" w:rsidRDefault="13D05368" w:rsidP="13D05368">
            <w:pPr>
              <w:spacing w:line="240" w:lineRule="auto"/>
              <w:jc w:val="center"/>
              <w:rPr>
                <w:rFonts w:eastAsia="Arial"/>
                <w:sz w:val="22"/>
              </w:rPr>
            </w:pPr>
          </w:p>
        </w:tc>
      </w:tr>
      <w:tr w:rsidR="13D05368" w14:paraId="7D61B142" w14:textId="77777777" w:rsidTr="003C655E">
        <w:trPr>
          <w:trHeight w:val="300"/>
        </w:trPr>
        <w:tc>
          <w:tcPr>
            <w:tcW w:w="3475" w:type="dxa"/>
            <w:tcBorders>
              <w:top w:val="nil"/>
              <w:left w:val="nil"/>
              <w:bottom w:val="nil"/>
              <w:right w:val="single" w:sz="6" w:space="0" w:color="auto"/>
            </w:tcBorders>
            <w:tcMar>
              <w:top w:w="90" w:type="dxa"/>
              <w:left w:w="90" w:type="dxa"/>
              <w:right w:w="90" w:type="dxa"/>
            </w:tcMar>
            <w:vAlign w:val="center"/>
          </w:tcPr>
          <w:p w14:paraId="50C454C2" w14:textId="3C204C3A" w:rsidR="13D05368" w:rsidRDefault="13D05368" w:rsidP="13D05368">
            <w:pPr>
              <w:spacing w:line="240" w:lineRule="auto"/>
              <w:ind w:left="348"/>
              <w:rPr>
                <w:rFonts w:eastAsia="Arial"/>
                <w:sz w:val="22"/>
              </w:rPr>
            </w:pPr>
            <w:r w:rsidRPr="13D05368">
              <w:rPr>
                <w:rFonts w:eastAsia="Arial"/>
                <w:sz w:val="22"/>
              </w:rPr>
              <w:t>Female</w:t>
            </w:r>
          </w:p>
        </w:tc>
        <w:tc>
          <w:tcPr>
            <w:tcW w:w="1177" w:type="dxa"/>
            <w:tcBorders>
              <w:left w:val="single" w:sz="6" w:space="0" w:color="auto"/>
            </w:tcBorders>
            <w:tcMar>
              <w:top w:w="90" w:type="dxa"/>
              <w:left w:w="90" w:type="dxa"/>
              <w:right w:w="90" w:type="dxa"/>
            </w:tcMar>
            <w:vAlign w:val="center"/>
          </w:tcPr>
          <w:p w14:paraId="29F8BCF9" w14:textId="3874F2F2" w:rsidR="13D05368" w:rsidRDefault="13D05368" w:rsidP="13D05368">
            <w:pPr>
              <w:spacing w:line="240" w:lineRule="auto"/>
              <w:jc w:val="center"/>
              <w:rPr>
                <w:rFonts w:eastAsia="Arial"/>
                <w:sz w:val="22"/>
              </w:rPr>
            </w:pPr>
            <w:r w:rsidRPr="13D05368">
              <w:rPr>
                <w:rFonts w:eastAsia="Arial"/>
                <w:sz w:val="22"/>
              </w:rPr>
              <w:t>1.3 (1.0,1.7)</w:t>
            </w:r>
          </w:p>
        </w:tc>
        <w:tc>
          <w:tcPr>
            <w:tcW w:w="1177" w:type="dxa"/>
            <w:tcMar>
              <w:top w:w="90" w:type="dxa"/>
              <w:left w:w="90" w:type="dxa"/>
              <w:right w:w="90" w:type="dxa"/>
            </w:tcMar>
            <w:vAlign w:val="center"/>
          </w:tcPr>
          <w:p w14:paraId="6DE2DB92" w14:textId="3BBE0678" w:rsidR="13D05368" w:rsidRDefault="13D05368" w:rsidP="13D05368">
            <w:pPr>
              <w:spacing w:line="240" w:lineRule="auto"/>
              <w:jc w:val="center"/>
              <w:rPr>
                <w:rFonts w:eastAsia="Arial"/>
                <w:sz w:val="22"/>
              </w:rPr>
            </w:pPr>
            <w:r w:rsidRPr="13D05368">
              <w:rPr>
                <w:rFonts w:eastAsia="Arial"/>
                <w:sz w:val="22"/>
              </w:rPr>
              <w:t>0.6</w:t>
            </w:r>
            <w:r w:rsidRPr="13D05368">
              <w:rPr>
                <w:rFonts w:eastAsia="Arial"/>
                <w:sz w:val="22"/>
                <w:vertAlign w:val="superscript"/>
              </w:rPr>
              <w:t>***</w:t>
            </w:r>
            <w:r w:rsidRPr="13D05368">
              <w:rPr>
                <w:rFonts w:eastAsia="Arial"/>
                <w:sz w:val="22"/>
              </w:rPr>
              <w:t xml:space="preserve"> (0.5,0.7)</w:t>
            </w:r>
          </w:p>
        </w:tc>
        <w:tc>
          <w:tcPr>
            <w:tcW w:w="1281" w:type="dxa"/>
            <w:tcMar>
              <w:top w:w="90" w:type="dxa"/>
              <w:left w:w="90" w:type="dxa"/>
              <w:right w:w="90" w:type="dxa"/>
            </w:tcMar>
            <w:vAlign w:val="center"/>
          </w:tcPr>
          <w:p w14:paraId="2911BC5F" w14:textId="3C37D30E" w:rsidR="13D05368" w:rsidRDefault="13D05368" w:rsidP="13D05368">
            <w:pPr>
              <w:spacing w:line="240" w:lineRule="auto"/>
              <w:jc w:val="center"/>
              <w:rPr>
                <w:rFonts w:eastAsia="Arial"/>
                <w:sz w:val="22"/>
              </w:rPr>
            </w:pPr>
            <w:r w:rsidRPr="13D05368">
              <w:rPr>
                <w:rFonts w:eastAsia="Arial"/>
                <w:sz w:val="22"/>
              </w:rPr>
              <w:t>1.0 (0.6,1.8)</w:t>
            </w:r>
          </w:p>
        </w:tc>
        <w:tc>
          <w:tcPr>
            <w:tcW w:w="1177" w:type="dxa"/>
            <w:tcMar>
              <w:top w:w="90" w:type="dxa"/>
              <w:left w:w="90" w:type="dxa"/>
              <w:right w:w="90" w:type="dxa"/>
            </w:tcMar>
            <w:vAlign w:val="center"/>
          </w:tcPr>
          <w:p w14:paraId="3C0A2EC7" w14:textId="5A310233" w:rsidR="13D05368" w:rsidRDefault="13D05368" w:rsidP="13D05368">
            <w:pPr>
              <w:spacing w:line="240" w:lineRule="auto"/>
              <w:jc w:val="center"/>
              <w:rPr>
                <w:rFonts w:eastAsia="Arial"/>
                <w:sz w:val="22"/>
              </w:rPr>
            </w:pPr>
            <w:r w:rsidRPr="13D05368">
              <w:rPr>
                <w:rFonts w:eastAsia="Arial"/>
                <w:sz w:val="22"/>
              </w:rPr>
              <w:t>0.8 (0.6,1.0)</w:t>
            </w:r>
          </w:p>
        </w:tc>
        <w:tc>
          <w:tcPr>
            <w:tcW w:w="1177" w:type="dxa"/>
            <w:tcBorders>
              <w:top w:val="nil"/>
              <w:bottom w:val="nil"/>
              <w:right w:val="nil"/>
            </w:tcBorders>
            <w:tcMar>
              <w:top w:w="90" w:type="dxa"/>
              <w:left w:w="90" w:type="dxa"/>
              <w:right w:w="90" w:type="dxa"/>
            </w:tcMar>
            <w:vAlign w:val="center"/>
          </w:tcPr>
          <w:p w14:paraId="3556E9B7" w14:textId="5744A43B" w:rsidR="13D05368" w:rsidRDefault="13D05368" w:rsidP="13D05368">
            <w:pPr>
              <w:spacing w:line="240" w:lineRule="auto"/>
              <w:jc w:val="center"/>
              <w:rPr>
                <w:rFonts w:eastAsia="Arial"/>
                <w:sz w:val="22"/>
              </w:rPr>
            </w:pPr>
            <w:r w:rsidRPr="13D05368">
              <w:rPr>
                <w:rFonts w:eastAsia="Arial"/>
                <w:sz w:val="22"/>
              </w:rPr>
              <w:t>0.9 (0.5,1.7)</w:t>
            </w:r>
          </w:p>
        </w:tc>
      </w:tr>
      <w:tr w:rsidR="13D05368" w14:paraId="004D3D72" w14:textId="77777777" w:rsidTr="003C655E">
        <w:trPr>
          <w:trHeight w:val="300"/>
        </w:trPr>
        <w:tc>
          <w:tcPr>
            <w:tcW w:w="3475" w:type="dxa"/>
            <w:tcBorders>
              <w:top w:val="nil"/>
              <w:left w:val="nil"/>
              <w:bottom w:val="nil"/>
              <w:right w:val="single" w:sz="6" w:space="0" w:color="auto"/>
            </w:tcBorders>
            <w:tcMar>
              <w:top w:w="90" w:type="dxa"/>
              <w:left w:w="90" w:type="dxa"/>
              <w:right w:w="90" w:type="dxa"/>
            </w:tcMar>
            <w:vAlign w:val="center"/>
          </w:tcPr>
          <w:p w14:paraId="17B5A88C" w14:textId="2CA940C6" w:rsidR="13D05368" w:rsidRDefault="13D05368" w:rsidP="13D05368">
            <w:pPr>
              <w:spacing w:line="240" w:lineRule="auto"/>
              <w:rPr>
                <w:rFonts w:eastAsia="Arial"/>
                <w:sz w:val="22"/>
              </w:rPr>
            </w:pPr>
            <w:r w:rsidRPr="13D05368">
              <w:rPr>
                <w:rFonts w:eastAsia="Arial"/>
                <w:b/>
                <w:bCs/>
                <w:sz w:val="22"/>
              </w:rPr>
              <w:t>Age at Enrollment</w:t>
            </w:r>
          </w:p>
        </w:tc>
        <w:tc>
          <w:tcPr>
            <w:tcW w:w="1177" w:type="dxa"/>
            <w:tcBorders>
              <w:left w:val="single" w:sz="6" w:space="0" w:color="auto"/>
            </w:tcBorders>
            <w:tcMar>
              <w:top w:w="90" w:type="dxa"/>
              <w:left w:w="90" w:type="dxa"/>
              <w:right w:w="90" w:type="dxa"/>
            </w:tcMar>
            <w:vAlign w:val="center"/>
          </w:tcPr>
          <w:p w14:paraId="74E35508" w14:textId="28672E4A" w:rsidR="13D05368" w:rsidRDefault="13D05368" w:rsidP="13D05368">
            <w:pPr>
              <w:spacing w:line="240" w:lineRule="auto"/>
              <w:jc w:val="center"/>
              <w:rPr>
                <w:rFonts w:eastAsia="Arial"/>
                <w:sz w:val="22"/>
              </w:rPr>
            </w:pPr>
            <w:r w:rsidRPr="13D05368">
              <w:rPr>
                <w:rFonts w:eastAsia="Arial"/>
                <w:sz w:val="22"/>
              </w:rPr>
              <w:t>1.0 (0.9,1.1)</w:t>
            </w:r>
          </w:p>
        </w:tc>
        <w:tc>
          <w:tcPr>
            <w:tcW w:w="1177" w:type="dxa"/>
            <w:tcMar>
              <w:top w:w="90" w:type="dxa"/>
              <w:left w:w="90" w:type="dxa"/>
              <w:right w:w="90" w:type="dxa"/>
            </w:tcMar>
            <w:vAlign w:val="center"/>
          </w:tcPr>
          <w:p w14:paraId="1C37B965" w14:textId="207F2633" w:rsidR="13D05368" w:rsidRDefault="13D05368" w:rsidP="13D05368">
            <w:pPr>
              <w:spacing w:line="240" w:lineRule="auto"/>
              <w:jc w:val="center"/>
              <w:rPr>
                <w:rFonts w:eastAsia="Arial"/>
                <w:sz w:val="22"/>
              </w:rPr>
            </w:pPr>
            <w:r w:rsidRPr="13D05368">
              <w:rPr>
                <w:rFonts w:eastAsia="Arial"/>
                <w:sz w:val="22"/>
              </w:rPr>
              <w:t>1.0 (0.9,1.0)</w:t>
            </w:r>
          </w:p>
        </w:tc>
        <w:tc>
          <w:tcPr>
            <w:tcW w:w="1281" w:type="dxa"/>
            <w:tcMar>
              <w:top w:w="90" w:type="dxa"/>
              <w:left w:w="90" w:type="dxa"/>
              <w:right w:w="90" w:type="dxa"/>
            </w:tcMar>
            <w:vAlign w:val="center"/>
          </w:tcPr>
          <w:p w14:paraId="71178C35" w14:textId="2CB19A36" w:rsidR="13D05368" w:rsidRDefault="13D05368" w:rsidP="13D05368">
            <w:pPr>
              <w:spacing w:line="240" w:lineRule="auto"/>
              <w:jc w:val="center"/>
              <w:rPr>
                <w:rFonts w:eastAsia="Arial"/>
                <w:sz w:val="22"/>
              </w:rPr>
            </w:pPr>
            <w:r w:rsidRPr="13D05368">
              <w:rPr>
                <w:rFonts w:eastAsia="Arial"/>
                <w:sz w:val="22"/>
              </w:rPr>
              <w:t>0.9</w:t>
            </w:r>
            <w:r w:rsidRPr="13D05368">
              <w:rPr>
                <w:rFonts w:eastAsia="Arial"/>
                <w:sz w:val="22"/>
                <w:vertAlign w:val="superscript"/>
              </w:rPr>
              <w:t>***</w:t>
            </w:r>
            <w:r w:rsidRPr="13D05368">
              <w:rPr>
                <w:rFonts w:eastAsia="Arial"/>
                <w:sz w:val="22"/>
              </w:rPr>
              <w:t xml:space="preserve"> (0.9,0.9)</w:t>
            </w:r>
          </w:p>
        </w:tc>
        <w:tc>
          <w:tcPr>
            <w:tcW w:w="1177" w:type="dxa"/>
            <w:tcMar>
              <w:top w:w="90" w:type="dxa"/>
              <w:left w:w="90" w:type="dxa"/>
              <w:right w:w="90" w:type="dxa"/>
            </w:tcMar>
            <w:vAlign w:val="center"/>
          </w:tcPr>
          <w:p w14:paraId="02AD05B4" w14:textId="59B025DB" w:rsidR="13D05368" w:rsidRDefault="13D05368" w:rsidP="13D05368">
            <w:pPr>
              <w:spacing w:line="240" w:lineRule="auto"/>
              <w:jc w:val="center"/>
              <w:rPr>
                <w:rFonts w:eastAsia="Arial"/>
                <w:sz w:val="22"/>
              </w:rPr>
            </w:pPr>
            <w:r w:rsidRPr="13D05368">
              <w:rPr>
                <w:rFonts w:eastAsia="Arial"/>
                <w:sz w:val="22"/>
              </w:rPr>
              <w:t>1.0 (0.9,1.1)</w:t>
            </w:r>
          </w:p>
        </w:tc>
        <w:tc>
          <w:tcPr>
            <w:tcW w:w="1177" w:type="dxa"/>
            <w:tcBorders>
              <w:top w:val="nil"/>
              <w:bottom w:val="nil"/>
              <w:right w:val="nil"/>
            </w:tcBorders>
            <w:tcMar>
              <w:top w:w="90" w:type="dxa"/>
              <w:left w:w="90" w:type="dxa"/>
              <w:right w:w="90" w:type="dxa"/>
            </w:tcMar>
            <w:vAlign w:val="center"/>
          </w:tcPr>
          <w:p w14:paraId="139B4FBC" w14:textId="13518A5B" w:rsidR="13D05368" w:rsidRDefault="13D05368" w:rsidP="13D05368">
            <w:pPr>
              <w:spacing w:line="240" w:lineRule="auto"/>
              <w:jc w:val="center"/>
              <w:rPr>
                <w:rFonts w:eastAsia="Arial"/>
                <w:sz w:val="22"/>
              </w:rPr>
            </w:pPr>
            <w:r w:rsidRPr="13D05368">
              <w:rPr>
                <w:rFonts w:eastAsia="Arial"/>
                <w:sz w:val="22"/>
              </w:rPr>
              <w:t>1.0 (1.0,1.1)</w:t>
            </w:r>
          </w:p>
        </w:tc>
      </w:tr>
      <w:tr w:rsidR="13D05368" w14:paraId="04BB3BF4" w14:textId="77777777" w:rsidTr="003C655E">
        <w:trPr>
          <w:trHeight w:val="300"/>
        </w:trPr>
        <w:tc>
          <w:tcPr>
            <w:tcW w:w="3475" w:type="dxa"/>
            <w:tcBorders>
              <w:top w:val="nil"/>
              <w:left w:val="nil"/>
              <w:bottom w:val="nil"/>
              <w:right w:val="single" w:sz="6" w:space="0" w:color="auto"/>
            </w:tcBorders>
            <w:tcMar>
              <w:top w:w="90" w:type="dxa"/>
              <w:left w:w="90" w:type="dxa"/>
              <w:right w:w="90" w:type="dxa"/>
            </w:tcMar>
            <w:vAlign w:val="center"/>
          </w:tcPr>
          <w:p w14:paraId="38053E54" w14:textId="2571A613" w:rsidR="13D05368" w:rsidRDefault="13D05368" w:rsidP="13D05368">
            <w:pPr>
              <w:spacing w:line="240" w:lineRule="auto"/>
              <w:rPr>
                <w:rFonts w:eastAsia="Arial"/>
                <w:sz w:val="22"/>
              </w:rPr>
            </w:pPr>
            <w:r w:rsidRPr="13D05368">
              <w:rPr>
                <w:rFonts w:eastAsia="Arial"/>
                <w:b/>
                <w:bCs/>
                <w:sz w:val="22"/>
              </w:rPr>
              <w:t>Needed to See a Medical Provider due to FA?</w:t>
            </w:r>
          </w:p>
        </w:tc>
        <w:tc>
          <w:tcPr>
            <w:tcW w:w="1177" w:type="dxa"/>
            <w:tcBorders>
              <w:left w:val="single" w:sz="6" w:space="0" w:color="auto"/>
            </w:tcBorders>
            <w:tcMar>
              <w:top w:w="90" w:type="dxa"/>
              <w:left w:w="90" w:type="dxa"/>
              <w:right w:w="90" w:type="dxa"/>
            </w:tcMar>
            <w:vAlign w:val="center"/>
          </w:tcPr>
          <w:p w14:paraId="1F8D5ED9" w14:textId="18765316" w:rsidR="13D05368" w:rsidRDefault="13D05368" w:rsidP="13D05368">
            <w:pPr>
              <w:spacing w:line="240" w:lineRule="auto"/>
              <w:jc w:val="center"/>
              <w:rPr>
                <w:rFonts w:eastAsia="Arial"/>
                <w:sz w:val="22"/>
              </w:rPr>
            </w:pPr>
            <w:r w:rsidRPr="13D05368">
              <w:rPr>
                <w:rFonts w:eastAsia="Arial"/>
                <w:sz w:val="22"/>
              </w:rPr>
              <w:t>2.0</w:t>
            </w:r>
            <w:r w:rsidRPr="13D05368">
              <w:rPr>
                <w:rFonts w:eastAsia="Arial"/>
                <w:sz w:val="22"/>
                <w:vertAlign w:val="superscript"/>
              </w:rPr>
              <w:t>***</w:t>
            </w:r>
            <w:r w:rsidRPr="13D05368">
              <w:rPr>
                <w:rFonts w:eastAsia="Arial"/>
                <w:sz w:val="22"/>
              </w:rPr>
              <w:t xml:space="preserve"> (1.5,2.8)</w:t>
            </w:r>
          </w:p>
        </w:tc>
        <w:tc>
          <w:tcPr>
            <w:tcW w:w="1177" w:type="dxa"/>
            <w:tcMar>
              <w:top w:w="90" w:type="dxa"/>
              <w:left w:w="90" w:type="dxa"/>
              <w:right w:w="90" w:type="dxa"/>
            </w:tcMar>
            <w:vAlign w:val="center"/>
          </w:tcPr>
          <w:p w14:paraId="2829178A" w14:textId="11F82218" w:rsidR="13D05368" w:rsidRDefault="13D05368" w:rsidP="13D05368">
            <w:pPr>
              <w:spacing w:line="240" w:lineRule="auto"/>
              <w:jc w:val="center"/>
              <w:rPr>
                <w:rFonts w:eastAsia="Arial"/>
                <w:sz w:val="22"/>
              </w:rPr>
            </w:pPr>
            <w:r w:rsidRPr="13D05368">
              <w:rPr>
                <w:rFonts w:eastAsia="Arial"/>
                <w:sz w:val="22"/>
              </w:rPr>
              <w:t>1.5</w:t>
            </w:r>
            <w:r w:rsidRPr="13D05368">
              <w:rPr>
                <w:rFonts w:eastAsia="Arial"/>
                <w:sz w:val="22"/>
                <w:vertAlign w:val="superscript"/>
              </w:rPr>
              <w:t>*</w:t>
            </w:r>
            <w:r w:rsidRPr="13D05368">
              <w:rPr>
                <w:rFonts w:eastAsia="Arial"/>
                <w:sz w:val="22"/>
              </w:rPr>
              <w:t xml:space="preserve"> (1.0,2.2)</w:t>
            </w:r>
          </w:p>
        </w:tc>
        <w:tc>
          <w:tcPr>
            <w:tcW w:w="1281" w:type="dxa"/>
            <w:tcMar>
              <w:top w:w="90" w:type="dxa"/>
              <w:left w:w="90" w:type="dxa"/>
              <w:right w:w="90" w:type="dxa"/>
            </w:tcMar>
            <w:vAlign w:val="center"/>
          </w:tcPr>
          <w:p w14:paraId="3539CD06" w14:textId="32B3E749" w:rsidR="13D05368" w:rsidRDefault="13D05368" w:rsidP="13D05368">
            <w:pPr>
              <w:spacing w:line="240" w:lineRule="auto"/>
              <w:jc w:val="center"/>
              <w:rPr>
                <w:rFonts w:eastAsia="Arial"/>
                <w:sz w:val="22"/>
              </w:rPr>
            </w:pPr>
            <w:r w:rsidRPr="13D05368">
              <w:rPr>
                <w:rFonts w:eastAsia="Arial"/>
                <w:sz w:val="22"/>
              </w:rPr>
              <w:t>2.6</w:t>
            </w:r>
            <w:r w:rsidRPr="13D05368">
              <w:rPr>
                <w:rFonts w:eastAsia="Arial"/>
                <w:sz w:val="22"/>
                <w:vertAlign w:val="superscript"/>
              </w:rPr>
              <w:t>**</w:t>
            </w:r>
            <w:r w:rsidRPr="13D05368">
              <w:rPr>
                <w:rFonts w:eastAsia="Arial"/>
                <w:sz w:val="22"/>
              </w:rPr>
              <w:t xml:space="preserve"> (1.4,4.8)</w:t>
            </w:r>
          </w:p>
        </w:tc>
        <w:tc>
          <w:tcPr>
            <w:tcW w:w="1177" w:type="dxa"/>
            <w:tcMar>
              <w:top w:w="90" w:type="dxa"/>
              <w:left w:w="90" w:type="dxa"/>
              <w:right w:w="90" w:type="dxa"/>
            </w:tcMar>
            <w:vAlign w:val="center"/>
          </w:tcPr>
          <w:p w14:paraId="74FA8564" w14:textId="0E932554" w:rsidR="13D05368" w:rsidRDefault="13D05368" w:rsidP="13D05368">
            <w:pPr>
              <w:spacing w:line="240" w:lineRule="auto"/>
              <w:jc w:val="center"/>
              <w:rPr>
                <w:rFonts w:eastAsia="Arial"/>
                <w:sz w:val="22"/>
              </w:rPr>
            </w:pPr>
            <w:r w:rsidRPr="13D05368">
              <w:rPr>
                <w:rFonts w:eastAsia="Arial"/>
                <w:sz w:val="22"/>
              </w:rPr>
              <w:t>2.0</w:t>
            </w:r>
            <w:r w:rsidRPr="13D05368">
              <w:rPr>
                <w:rFonts w:eastAsia="Arial"/>
                <w:sz w:val="22"/>
                <w:vertAlign w:val="superscript"/>
              </w:rPr>
              <w:t>**</w:t>
            </w:r>
            <w:r w:rsidRPr="13D05368">
              <w:rPr>
                <w:rFonts w:eastAsia="Arial"/>
                <w:sz w:val="22"/>
              </w:rPr>
              <w:t xml:space="preserve"> (1.2,3.4)</w:t>
            </w:r>
          </w:p>
        </w:tc>
        <w:tc>
          <w:tcPr>
            <w:tcW w:w="1177" w:type="dxa"/>
            <w:tcBorders>
              <w:top w:val="nil"/>
              <w:bottom w:val="nil"/>
              <w:right w:val="nil"/>
            </w:tcBorders>
            <w:tcMar>
              <w:top w:w="90" w:type="dxa"/>
              <w:left w:w="90" w:type="dxa"/>
              <w:right w:w="90" w:type="dxa"/>
            </w:tcMar>
            <w:vAlign w:val="center"/>
          </w:tcPr>
          <w:p w14:paraId="177CD148" w14:textId="62902B28" w:rsidR="13D05368" w:rsidRDefault="13D05368" w:rsidP="13D05368">
            <w:pPr>
              <w:spacing w:line="240" w:lineRule="auto"/>
              <w:jc w:val="center"/>
              <w:rPr>
                <w:rFonts w:eastAsia="Arial"/>
                <w:sz w:val="22"/>
              </w:rPr>
            </w:pPr>
            <w:r w:rsidRPr="13D05368">
              <w:rPr>
                <w:rFonts w:eastAsia="Arial"/>
                <w:sz w:val="22"/>
              </w:rPr>
              <w:t>1.5 (0.8,3.0)</w:t>
            </w:r>
          </w:p>
        </w:tc>
      </w:tr>
      <w:tr w:rsidR="13D05368" w14:paraId="076F0808" w14:textId="77777777" w:rsidTr="003C655E">
        <w:trPr>
          <w:trHeight w:val="300"/>
        </w:trPr>
        <w:tc>
          <w:tcPr>
            <w:tcW w:w="3475" w:type="dxa"/>
            <w:tcBorders>
              <w:top w:val="nil"/>
              <w:left w:val="nil"/>
              <w:bottom w:val="nil"/>
              <w:right w:val="single" w:sz="6" w:space="0" w:color="auto"/>
            </w:tcBorders>
            <w:tcMar>
              <w:top w:w="90" w:type="dxa"/>
              <w:left w:w="90" w:type="dxa"/>
              <w:right w:w="90" w:type="dxa"/>
            </w:tcMar>
            <w:vAlign w:val="center"/>
          </w:tcPr>
          <w:p w14:paraId="42A1DADD" w14:textId="032BEEDA" w:rsidR="13D05368" w:rsidRDefault="13D05368" w:rsidP="13D05368">
            <w:pPr>
              <w:spacing w:line="240" w:lineRule="auto"/>
              <w:rPr>
                <w:rFonts w:eastAsia="Arial"/>
                <w:sz w:val="22"/>
              </w:rPr>
            </w:pPr>
            <w:r w:rsidRPr="13D05368">
              <w:rPr>
                <w:rFonts w:eastAsia="Arial"/>
                <w:b/>
                <w:bCs/>
                <w:sz w:val="22"/>
              </w:rPr>
              <w:t>Needed to See a Mental Health Provider due to FA?</w:t>
            </w:r>
          </w:p>
        </w:tc>
        <w:tc>
          <w:tcPr>
            <w:tcW w:w="1177" w:type="dxa"/>
            <w:tcBorders>
              <w:left w:val="single" w:sz="6" w:space="0" w:color="auto"/>
            </w:tcBorders>
            <w:tcMar>
              <w:top w:w="90" w:type="dxa"/>
              <w:left w:w="90" w:type="dxa"/>
              <w:right w:w="90" w:type="dxa"/>
            </w:tcMar>
            <w:vAlign w:val="center"/>
          </w:tcPr>
          <w:p w14:paraId="6EFB3BB3" w14:textId="46F31091" w:rsidR="13D05368" w:rsidRDefault="13D05368" w:rsidP="13D05368">
            <w:pPr>
              <w:spacing w:line="240" w:lineRule="auto"/>
              <w:jc w:val="center"/>
              <w:rPr>
                <w:rFonts w:eastAsia="Arial"/>
                <w:sz w:val="22"/>
              </w:rPr>
            </w:pPr>
            <w:r w:rsidRPr="13D05368">
              <w:rPr>
                <w:rFonts w:eastAsia="Arial"/>
                <w:sz w:val="22"/>
              </w:rPr>
              <w:t>1.4 (0.5,4.0)</w:t>
            </w:r>
          </w:p>
        </w:tc>
        <w:tc>
          <w:tcPr>
            <w:tcW w:w="1177" w:type="dxa"/>
            <w:tcMar>
              <w:top w:w="90" w:type="dxa"/>
              <w:left w:w="90" w:type="dxa"/>
              <w:right w:w="90" w:type="dxa"/>
            </w:tcMar>
            <w:vAlign w:val="center"/>
          </w:tcPr>
          <w:p w14:paraId="1276C7B6" w14:textId="1157DAC1" w:rsidR="13D05368" w:rsidRDefault="13D05368" w:rsidP="13D05368">
            <w:pPr>
              <w:spacing w:line="240" w:lineRule="auto"/>
              <w:jc w:val="center"/>
              <w:rPr>
                <w:rFonts w:eastAsia="Arial"/>
                <w:sz w:val="22"/>
              </w:rPr>
            </w:pPr>
            <w:r w:rsidRPr="13D05368">
              <w:rPr>
                <w:rFonts w:eastAsia="Arial"/>
                <w:sz w:val="22"/>
              </w:rPr>
              <w:t>1.8 (0.7,4.3)</w:t>
            </w:r>
          </w:p>
        </w:tc>
        <w:tc>
          <w:tcPr>
            <w:tcW w:w="1281" w:type="dxa"/>
            <w:tcMar>
              <w:top w:w="90" w:type="dxa"/>
              <w:left w:w="90" w:type="dxa"/>
              <w:right w:w="90" w:type="dxa"/>
            </w:tcMar>
            <w:vAlign w:val="center"/>
          </w:tcPr>
          <w:p w14:paraId="404B91C1" w14:textId="25FBDBF8" w:rsidR="13D05368" w:rsidRDefault="13D05368" w:rsidP="13D05368">
            <w:pPr>
              <w:spacing w:line="240" w:lineRule="auto"/>
              <w:jc w:val="center"/>
              <w:rPr>
                <w:rFonts w:eastAsia="Arial"/>
                <w:sz w:val="22"/>
              </w:rPr>
            </w:pPr>
            <w:r w:rsidRPr="13D05368">
              <w:rPr>
                <w:rFonts w:eastAsia="Arial"/>
                <w:sz w:val="22"/>
              </w:rPr>
              <w:t>3.8</w:t>
            </w:r>
            <w:r w:rsidRPr="13D05368">
              <w:rPr>
                <w:rFonts w:eastAsia="Arial"/>
                <w:sz w:val="22"/>
                <w:vertAlign w:val="superscript"/>
              </w:rPr>
              <w:t>**</w:t>
            </w:r>
            <w:r w:rsidRPr="13D05368">
              <w:rPr>
                <w:rFonts w:eastAsia="Arial"/>
                <w:sz w:val="22"/>
              </w:rPr>
              <w:t xml:space="preserve"> (1.4,10.2)</w:t>
            </w:r>
          </w:p>
        </w:tc>
        <w:tc>
          <w:tcPr>
            <w:tcW w:w="1177" w:type="dxa"/>
            <w:tcMar>
              <w:top w:w="90" w:type="dxa"/>
              <w:left w:w="90" w:type="dxa"/>
              <w:right w:w="90" w:type="dxa"/>
            </w:tcMar>
            <w:vAlign w:val="center"/>
          </w:tcPr>
          <w:p w14:paraId="764D8BB5" w14:textId="4E288595" w:rsidR="13D05368" w:rsidRDefault="13D05368" w:rsidP="13D05368">
            <w:pPr>
              <w:spacing w:line="240" w:lineRule="auto"/>
              <w:jc w:val="center"/>
              <w:rPr>
                <w:rFonts w:eastAsia="Arial"/>
                <w:sz w:val="22"/>
              </w:rPr>
            </w:pPr>
            <w:r w:rsidRPr="13D05368">
              <w:rPr>
                <w:rFonts w:eastAsia="Arial"/>
                <w:sz w:val="22"/>
              </w:rPr>
              <w:t>2.5 (0.7,9.2)</w:t>
            </w:r>
          </w:p>
        </w:tc>
        <w:tc>
          <w:tcPr>
            <w:tcW w:w="1177" w:type="dxa"/>
            <w:tcBorders>
              <w:top w:val="nil"/>
              <w:bottom w:val="nil"/>
              <w:right w:val="nil"/>
            </w:tcBorders>
            <w:tcMar>
              <w:top w:w="90" w:type="dxa"/>
              <w:left w:w="90" w:type="dxa"/>
              <w:right w:w="90" w:type="dxa"/>
            </w:tcMar>
            <w:vAlign w:val="center"/>
          </w:tcPr>
          <w:p w14:paraId="23EE6CB6" w14:textId="743D228A" w:rsidR="13D05368" w:rsidRDefault="13D05368" w:rsidP="13D05368">
            <w:pPr>
              <w:spacing w:line="240" w:lineRule="auto"/>
              <w:jc w:val="center"/>
              <w:rPr>
                <w:rFonts w:eastAsia="Arial"/>
                <w:sz w:val="22"/>
              </w:rPr>
            </w:pPr>
            <w:r w:rsidRPr="13D05368">
              <w:rPr>
                <w:rFonts w:eastAsia="Arial"/>
                <w:sz w:val="22"/>
              </w:rPr>
              <w:t>1.5 (0.2,9.4)</w:t>
            </w:r>
          </w:p>
        </w:tc>
      </w:tr>
      <w:tr w:rsidR="13D05368" w14:paraId="236C7142" w14:textId="77777777" w:rsidTr="003C655E">
        <w:trPr>
          <w:trHeight w:val="300"/>
        </w:trPr>
        <w:tc>
          <w:tcPr>
            <w:tcW w:w="3475" w:type="dxa"/>
            <w:tcBorders>
              <w:top w:val="nil"/>
              <w:left w:val="nil"/>
              <w:bottom w:val="nil"/>
              <w:right w:val="single" w:sz="6" w:space="0" w:color="auto"/>
            </w:tcBorders>
            <w:tcMar>
              <w:top w:w="90" w:type="dxa"/>
              <w:left w:w="90" w:type="dxa"/>
              <w:right w:w="90" w:type="dxa"/>
            </w:tcMar>
            <w:vAlign w:val="center"/>
          </w:tcPr>
          <w:p w14:paraId="12ED566A" w14:textId="07109AFA" w:rsidR="13D05368" w:rsidRDefault="13D05368" w:rsidP="13D05368">
            <w:pPr>
              <w:spacing w:line="240" w:lineRule="auto"/>
              <w:rPr>
                <w:rFonts w:eastAsia="Arial"/>
                <w:sz w:val="22"/>
              </w:rPr>
            </w:pPr>
            <w:r w:rsidRPr="13D05368">
              <w:rPr>
                <w:rFonts w:eastAsia="Arial"/>
                <w:b/>
                <w:bCs/>
                <w:sz w:val="22"/>
              </w:rPr>
              <w:t>Needed to See a Nutrition Provider due to FA?</w:t>
            </w:r>
          </w:p>
        </w:tc>
        <w:tc>
          <w:tcPr>
            <w:tcW w:w="1177" w:type="dxa"/>
            <w:tcBorders>
              <w:left w:val="single" w:sz="6" w:space="0" w:color="auto"/>
              <w:bottom w:val="nil"/>
            </w:tcBorders>
            <w:tcMar>
              <w:top w:w="90" w:type="dxa"/>
              <w:left w:w="90" w:type="dxa"/>
              <w:right w:w="90" w:type="dxa"/>
            </w:tcMar>
            <w:vAlign w:val="center"/>
          </w:tcPr>
          <w:p w14:paraId="50F50D1D" w14:textId="3F7ABB99" w:rsidR="13D05368" w:rsidRDefault="13D05368" w:rsidP="13D05368">
            <w:pPr>
              <w:spacing w:line="240" w:lineRule="auto"/>
              <w:jc w:val="center"/>
              <w:rPr>
                <w:rFonts w:eastAsia="Arial"/>
                <w:sz w:val="22"/>
              </w:rPr>
            </w:pPr>
            <w:r w:rsidRPr="13D05368">
              <w:rPr>
                <w:rFonts w:eastAsia="Arial"/>
                <w:sz w:val="22"/>
              </w:rPr>
              <w:t>2.3</w:t>
            </w:r>
            <w:r w:rsidRPr="13D05368">
              <w:rPr>
                <w:rFonts w:eastAsia="Arial"/>
                <w:sz w:val="22"/>
                <w:vertAlign w:val="superscript"/>
              </w:rPr>
              <w:t>**</w:t>
            </w:r>
            <w:r w:rsidRPr="13D05368">
              <w:rPr>
                <w:rFonts w:eastAsia="Arial"/>
                <w:sz w:val="22"/>
              </w:rPr>
              <w:t xml:space="preserve"> (1.3,4.1)</w:t>
            </w:r>
          </w:p>
        </w:tc>
        <w:tc>
          <w:tcPr>
            <w:tcW w:w="1177" w:type="dxa"/>
            <w:tcBorders>
              <w:bottom w:val="nil"/>
            </w:tcBorders>
            <w:tcMar>
              <w:top w:w="90" w:type="dxa"/>
              <w:left w:w="90" w:type="dxa"/>
              <w:right w:w="90" w:type="dxa"/>
            </w:tcMar>
            <w:vAlign w:val="center"/>
          </w:tcPr>
          <w:p w14:paraId="4E9CF39C" w14:textId="6C9AB0EE" w:rsidR="13D05368" w:rsidRDefault="13D05368" w:rsidP="13D05368">
            <w:pPr>
              <w:spacing w:line="240" w:lineRule="auto"/>
              <w:jc w:val="center"/>
              <w:rPr>
                <w:rFonts w:eastAsia="Arial"/>
                <w:sz w:val="22"/>
              </w:rPr>
            </w:pPr>
            <w:r w:rsidRPr="13D05368">
              <w:rPr>
                <w:rFonts w:eastAsia="Arial"/>
                <w:sz w:val="22"/>
              </w:rPr>
              <w:t>2.0</w:t>
            </w:r>
            <w:r w:rsidRPr="13D05368">
              <w:rPr>
                <w:rFonts w:eastAsia="Arial"/>
                <w:sz w:val="22"/>
                <w:vertAlign w:val="superscript"/>
              </w:rPr>
              <w:t>*</w:t>
            </w:r>
            <w:r w:rsidRPr="13D05368">
              <w:rPr>
                <w:rFonts w:eastAsia="Arial"/>
                <w:sz w:val="22"/>
              </w:rPr>
              <w:t xml:space="preserve"> (1.1,3.3)</w:t>
            </w:r>
          </w:p>
        </w:tc>
        <w:tc>
          <w:tcPr>
            <w:tcW w:w="1281" w:type="dxa"/>
            <w:tcBorders>
              <w:bottom w:val="nil"/>
            </w:tcBorders>
            <w:tcMar>
              <w:top w:w="90" w:type="dxa"/>
              <w:left w:w="90" w:type="dxa"/>
              <w:right w:w="90" w:type="dxa"/>
            </w:tcMar>
            <w:vAlign w:val="center"/>
          </w:tcPr>
          <w:p w14:paraId="2675BEE0" w14:textId="577161AE" w:rsidR="13D05368" w:rsidRDefault="13D05368" w:rsidP="13D05368">
            <w:pPr>
              <w:spacing w:line="240" w:lineRule="auto"/>
              <w:jc w:val="center"/>
              <w:rPr>
                <w:rFonts w:eastAsia="Arial"/>
                <w:sz w:val="22"/>
              </w:rPr>
            </w:pPr>
            <w:r w:rsidRPr="13D05368">
              <w:rPr>
                <w:rFonts w:eastAsia="Arial"/>
                <w:sz w:val="22"/>
              </w:rPr>
              <w:t>1.5 (0.8,3.0)</w:t>
            </w:r>
          </w:p>
        </w:tc>
        <w:tc>
          <w:tcPr>
            <w:tcW w:w="1177" w:type="dxa"/>
            <w:tcBorders>
              <w:bottom w:val="nil"/>
            </w:tcBorders>
            <w:tcMar>
              <w:top w:w="90" w:type="dxa"/>
              <w:left w:w="90" w:type="dxa"/>
              <w:right w:w="90" w:type="dxa"/>
            </w:tcMar>
            <w:vAlign w:val="center"/>
          </w:tcPr>
          <w:p w14:paraId="1F415AEE" w14:textId="4412F56A" w:rsidR="13D05368" w:rsidRDefault="13D05368" w:rsidP="13D05368">
            <w:pPr>
              <w:spacing w:line="240" w:lineRule="auto"/>
              <w:jc w:val="center"/>
              <w:rPr>
                <w:rFonts w:eastAsia="Arial"/>
                <w:sz w:val="22"/>
              </w:rPr>
            </w:pPr>
            <w:r w:rsidRPr="13D05368">
              <w:rPr>
                <w:rFonts w:eastAsia="Arial"/>
                <w:sz w:val="22"/>
              </w:rPr>
              <w:t>0.9 (0.2,3.7)</w:t>
            </w:r>
          </w:p>
        </w:tc>
        <w:tc>
          <w:tcPr>
            <w:tcW w:w="1177" w:type="dxa"/>
            <w:tcBorders>
              <w:top w:val="nil"/>
              <w:bottom w:val="nil"/>
              <w:right w:val="nil"/>
            </w:tcBorders>
            <w:tcMar>
              <w:top w:w="90" w:type="dxa"/>
              <w:left w:w="90" w:type="dxa"/>
              <w:right w:w="90" w:type="dxa"/>
            </w:tcMar>
            <w:vAlign w:val="center"/>
          </w:tcPr>
          <w:p w14:paraId="1B08F0F8" w14:textId="208AB4CC" w:rsidR="13D05368" w:rsidRDefault="13D05368" w:rsidP="13D05368">
            <w:pPr>
              <w:spacing w:line="240" w:lineRule="auto"/>
              <w:jc w:val="center"/>
              <w:rPr>
                <w:rFonts w:eastAsia="Arial"/>
                <w:sz w:val="22"/>
              </w:rPr>
            </w:pPr>
            <w:r w:rsidRPr="13D05368">
              <w:rPr>
                <w:rFonts w:eastAsia="Arial"/>
                <w:sz w:val="22"/>
              </w:rPr>
              <w:t>1.1 (0.3,5.2)</w:t>
            </w:r>
          </w:p>
        </w:tc>
      </w:tr>
      <w:tr w:rsidR="13D05368" w14:paraId="229B790D" w14:textId="77777777" w:rsidTr="003C655E">
        <w:trPr>
          <w:trHeight w:val="300"/>
        </w:trPr>
        <w:tc>
          <w:tcPr>
            <w:tcW w:w="3475" w:type="dxa"/>
            <w:tcBorders>
              <w:top w:val="nil"/>
              <w:left w:val="nil"/>
              <w:bottom w:val="nil"/>
              <w:right w:val="single" w:sz="6" w:space="0" w:color="auto"/>
            </w:tcBorders>
            <w:tcMar>
              <w:top w:w="90" w:type="dxa"/>
              <w:left w:w="90" w:type="dxa"/>
              <w:right w:w="90" w:type="dxa"/>
            </w:tcMar>
            <w:vAlign w:val="center"/>
          </w:tcPr>
          <w:p w14:paraId="0A0D0528" w14:textId="22E7AD4C" w:rsidR="13D05368" w:rsidRDefault="13D05368" w:rsidP="13D05368">
            <w:pPr>
              <w:spacing w:line="240" w:lineRule="auto"/>
              <w:rPr>
                <w:rFonts w:eastAsia="Arial"/>
                <w:sz w:val="22"/>
              </w:rPr>
            </w:pPr>
            <w:r w:rsidRPr="13D05368">
              <w:rPr>
                <w:rFonts w:eastAsia="Arial"/>
                <w:b/>
                <w:bCs/>
                <w:sz w:val="22"/>
              </w:rPr>
              <w:t>Number of Unique FAs</w:t>
            </w:r>
          </w:p>
        </w:tc>
        <w:tc>
          <w:tcPr>
            <w:tcW w:w="1177" w:type="dxa"/>
            <w:tcBorders>
              <w:top w:val="nil"/>
              <w:left w:val="single" w:sz="6" w:space="0" w:color="auto"/>
              <w:bottom w:val="nil"/>
            </w:tcBorders>
            <w:tcMar>
              <w:top w:w="90" w:type="dxa"/>
              <w:left w:w="90" w:type="dxa"/>
              <w:right w:w="90" w:type="dxa"/>
            </w:tcMar>
            <w:vAlign w:val="center"/>
          </w:tcPr>
          <w:p w14:paraId="5A4E9E36" w14:textId="401E9A39" w:rsidR="13D05368" w:rsidRDefault="13D05368" w:rsidP="13D05368">
            <w:pPr>
              <w:spacing w:line="240" w:lineRule="auto"/>
              <w:jc w:val="center"/>
              <w:rPr>
                <w:rFonts w:eastAsia="Arial"/>
                <w:sz w:val="22"/>
              </w:rPr>
            </w:pPr>
            <w:r w:rsidRPr="13D05368">
              <w:rPr>
                <w:rFonts w:eastAsia="Arial"/>
                <w:sz w:val="22"/>
              </w:rPr>
              <w:t>1.3 (1.0,1.8)</w:t>
            </w:r>
          </w:p>
        </w:tc>
        <w:tc>
          <w:tcPr>
            <w:tcW w:w="1177" w:type="dxa"/>
            <w:tcBorders>
              <w:top w:val="nil"/>
              <w:bottom w:val="nil"/>
            </w:tcBorders>
            <w:tcMar>
              <w:top w:w="90" w:type="dxa"/>
              <w:left w:w="90" w:type="dxa"/>
              <w:right w:w="90" w:type="dxa"/>
            </w:tcMar>
            <w:vAlign w:val="center"/>
          </w:tcPr>
          <w:p w14:paraId="08141552" w14:textId="1C21D500" w:rsidR="13D05368" w:rsidRDefault="13D05368" w:rsidP="13D05368">
            <w:pPr>
              <w:spacing w:line="240" w:lineRule="auto"/>
              <w:jc w:val="center"/>
              <w:rPr>
                <w:rFonts w:eastAsia="Arial"/>
                <w:sz w:val="22"/>
              </w:rPr>
            </w:pPr>
            <w:r w:rsidRPr="13D05368">
              <w:rPr>
                <w:rFonts w:eastAsia="Arial"/>
                <w:sz w:val="22"/>
              </w:rPr>
              <w:t>1.1 (1.0,1.3)</w:t>
            </w:r>
          </w:p>
        </w:tc>
        <w:tc>
          <w:tcPr>
            <w:tcW w:w="1281" w:type="dxa"/>
            <w:tcBorders>
              <w:top w:val="nil"/>
              <w:bottom w:val="nil"/>
            </w:tcBorders>
            <w:tcMar>
              <w:top w:w="90" w:type="dxa"/>
              <w:left w:w="90" w:type="dxa"/>
              <w:right w:w="90" w:type="dxa"/>
            </w:tcMar>
            <w:vAlign w:val="center"/>
          </w:tcPr>
          <w:p w14:paraId="31A977FA" w14:textId="0E37E803" w:rsidR="13D05368" w:rsidRDefault="13D05368" w:rsidP="13D05368">
            <w:pPr>
              <w:spacing w:line="240" w:lineRule="auto"/>
              <w:jc w:val="center"/>
              <w:rPr>
                <w:rFonts w:eastAsia="Arial"/>
                <w:sz w:val="22"/>
              </w:rPr>
            </w:pPr>
            <w:r w:rsidRPr="13D05368">
              <w:rPr>
                <w:rFonts w:eastAsia="Arial"/>
                <w:sz w:val="22"/>
              </w:rPr>
              <w:t>1.2 (1.0,1.4)</w:t>
            </w:r>
          </w:p>
        </w:tc>
        <w:tc>
          <w:tcPr>
            <w:tcW w:w="1177" w:type="dxa"/>
            <w:tcBorders>
              <w:top w:val="nil"/>
              <w:bottom w:val="nil"/>
            </w:tcBorders>
            <w:tcMar>
              <w:top w:w="90" w:type="dxa"/>
              <w:left w:w="90" w:type="dxa"/>
              <w:right w:w="90" w:type="dxa"/>
            </w:tcMar>
            <w:vAlign w:val="center"/>
          </w:tcPr>
          <w:p w14:paraId="13E92F81" w14:textId="6C4DB789" w:rsidR="13D05368" w:rsidRDefault="13D05368" w:rsidP="13D05368">
            <w:pPr>
              <w:spacing w:line="240" w:lineRule="auto"/>
              <w:jc w:val="center"/>
              <w:rPr>
                <w:rFonts w:eastAsia="Arial"/>
                <w:sz w:val="22"/>
              </w:rPr>
            </w:pPr>
            <w:r w:rsidRPr="13D05368">
              <w:rPr>
                <w:rFonts w:eastAsia="Arial"/>
                <w:sz w:val="22"/>
              </w:rPr>
              <w:t>1.0 (0.9,1.1)</w:t>
            </w:r>
          </w:p>
        </w:tc>
        <w:tc>
          <w:tcPr>
            <w:tcW w:w="1177" w:type="dxa"/>
            <w:tcBorders>
              <w:top w:val="nil"/>
              <w:bottom w:val="nil"/>
              <w:right w:val="nil"/>
            </w:tcBorders>
            <w:tcMar>
              <w:top w:w="90" w:type="dxa"/>
              <w:left w:w="90" w:type="dxa"/>
              <w:right w:w="90" w:type="dxa"/>
            </w:tcMar>
            <w:vAlign w:val="center"/>
          </w:tcPr>
          <w:p w14:paraId="515EFCCD" w14:textId="5BA312C0" w:rsidR="13D05368" w:rsidRDefault="13D05368" w:rsidP="13D05368">
            <w:pPr>
              <w:spacing w:line="240" w:lineRule="auto"/>
              <w:jc w:val="center"/>
              <w:rPr>
                <w:rFonts w:eastAsia="Arial"/>
                <w:sz w:val="22"/>
              </w:rPr>
            </w:pPr>
            <w:r w:rsidRPr="13D05368">
              <w:rPr>
                <w:rFonts w:eastAsia="Arial"/>
                <w:sz w:val="22"/>
              </w:rPr>
              <w:t>1.0 (0.9,1.1)</w:t>
            </w:r>
          </w:p>
        </w:tc>
      </w:tr>
    </w:tbl>
    <w:p w14:paraId="1A226B04" w14:textId="7D089EF8" w:rsidR="004A351F" w:rsidRDefault="004A351F" w:rsidP="13D05368">
      <w:pPr>
        <w:spacing w:line="240" w:lineRule="auto"/>
        <w:rPr>
          <w:rFonts w:eastAsia="Arial"/>
          <w:color w:val="000000" w:themeColor="text1"/>
          <w:sz w:val="22"/>
        </w:rPr>
      </w:pPr>
    </w:p>
    <w:p w14:paraId="6C4BF7CE" w14:textId="744DFA80" w:rsidR="004A351F" w:rsidRDefault="26207899" w:rsidP="13D05368">
      <w:pPr>
        <w:spacing w:line="240" w:lineRule="auto"/>
        <w:rPr>
          <w:rFonts w:eastAsia="Arial"/>
          <w:color w:val="000000" w:themeColor="text1"/>
          <w:sz w:val="22"/>
        </w:rPr>
      </w:pPr>
      <w:r w:rsidRPr="13D05368">
        <w:rPr>
          <w:rFonts w:eastAsia="Arial"/>
          <w:color w:val="000000" w:themeColor="text1"/>
          <w:sz w:val="22"/>
          <w:vertAlign w:val="superscript"/>
        </w:rPr>
        <w:t>*</w:t>
      </w:r>
      <w:r w:rsidRPr="13D05368">
        <w:rPr>
          <w:rFonts w:eastAsia="Arial"/>
          <w:color w:val="000000" w:themeColor="text1"/>
          <w:sz w:val="22"/>
        </w:rPr>
        <w:t xml:space="preserve"> </w:t>
      </w:r>
      <w:r w:rsidRPr="13D05368">
        <w:rPr>
          <w:rFonts w:eastAsia="Arial"/>
          <w:i/>
          <w:iCs/>
          <w:color w:val="000000" w:themeColor="text1"/>
          <w:sz w:val="22"/>
        </w:rPr>
        <w:t>p</w:t>
      </w:r>
      <w:r w:rsidRPr="13D05368">
        <w:rPr>
          <w:rFonts w:eastAsia="Arial"/>
          <w:color w:val="000000" w:themeColor="text1"/>
          <w:sz w:val="22"/>
        </w:rPr>
        <w:t xml:space="preserve"> &lt; 0.05, </w:t>
      </w:r>
      <w:r w:rsidRPr="13D05368">
        <w:rPr>
          <w:rFonts w:eastAsia="Arial"/>
          <w:color w:val="000000" w:themeColor="text1"/>
          <w:sz w:val="22"/>
          <w:vertAlign w:val="superscript"/>
        </w:rPr>
        <w:t>**</w:t>
      </w:r>
      <w:r w:rsidRPr="13D05368">
        <w:rPr>
          <w:rFonts w:eastAsia="Arial"/>
          <w:color w:val="000000" w:themeColor="text1"/>
          <w:sz w:val="22"/>
        </w:rPr>
        <w:t xml:space="preserve"> </w:t>
      </w:r>
      <w:r w:rsidRPr="13D05368">
        <w:rPr>
          <w:rFonts w:eastAsia="Arial"/>
          <w:i/>
          <w:iCs/>
          <w:color w:val="000000" w:themeColor="text1"/>
          <w:sz w:val="22"/>
        </w:rPr>
        <w:t>p</w:t>
      </w:r>
      <w:r w:rsidRPr="13D05368">
        <w:rPr>
          <w:rFonts w:eastAsia="Arial"/>
          <w:color w:val="000000" w:themeColor="text1"/>
          <w:sz w:val="22"/>
        </w:rPr>
        <w:t xml:space="preserve"> &lt; 0.01, </w:t>
      </w:r>
      <w:r w:rsidRPr="13D05368">
        <w:rPr>
          <w:rFonts w:eastAsia="Arial"/>
          <w:color w:val="000000" w:themeColor="text1"/>
          <w:sz w:val="22"/>
          <w:vertAlign w:val="superscript"/>
        </w:rPr>
        <w:t>***</w:t>
      </w:r>
      <w:r w:rsidRPr="13D05368">
        <w:rPr>
          <w:rFonts w:eastAsia="Arial"/>
          <w:color w:val="000000" w:themeColor="text1"/>
          <w:sz w:val="22"/>
        </w:rPr>
        <w:t xml:space="preserve"> </w:t>
      </w:r>
      <w:r w:rsidRPr="13D05368">
        <w:rPr>
          <w:rFonts w:eastAsia="Arial"/>
          <w:i/>
          <w:iCs/>
          <w:color w:val="000000" w:themeColor="text1"/>
          <w:sz w:val="22"/>
        </w:rPr>
        <w:t>p</w:t>
      </w:r>
      <w:r w:rsidRPr="13D05368">
        <w:rPr>
          <w:rFonts w:eastAsia="Arial"/>
          <w:color w:val="000000" w:themeColor="text1"/>
          <w:sz w:val="22"/>
        </w:rPr>
        <w:t xml:space="preserve"> &lt; 0.001</w:t>
      </w:r>
    </w:p>
    <w:p w14:paraId="27D33A11" w14:textId="4A02CD9F" w:rsidR="004A351F" w:rsidRDefault="004A351F" w:rsidP="13D05368">
      <w:pPr>
        <w:spacing w:line="240" w:lineRule="auto"/>
        <w:rPr>
          <w:rFonts w:eastAsia="Arial"/>
          <w:color w:val="000000" w:themeColor="text1"/>
          <w:sz w:val="22"/>
        </w:rPr>
      </w:pPr>
    </w:p>
    <w:p w14:paraId="4BB290C7" w14:textId="46FD2791" w:rsidR="004A351F" w:rsidRDefault="004A351F" w:rsidP="13D05368">
      <w:pPr>
        <w:rPr>
          <w:rFonts w:eastAsia="Arial"/>
          <w:color w:val="000000" w:themeColor="text1"/>
          <w:sz w:val="22"/>
        </w:rPr>
      </w:pPr>
    </w:p>
    <w:p w14:paraId="4623E122" w14:textId="112EE3FE" w:rsidR="004A351F" w:rsidRDefault="004A351F" w:rsidP="13D05368">
      <w:pPr>
        <w:rPr>
          <w:rFonts w:eastAsia="Arial"/>
          <w:sz w:val="22"/>
        </w:rPr>
      </w:pPr>
    </w:p>
    <w:p w14:paraId="581FE4D2" w14:textId="77777777" w:rsidR="00EF1811" w:rsidRDefault="00EF1811" w:rsidP="13D05368">
      <w:pPr>
        <w:rPr>
          <w:rFonts w:eastAsia="Arial"/>
          <w:b/>
          <w:bCs/>
          <w:sz w:val="22"/>
        </w:rPr>
      </w:pPr>
    </w:p>
    <w:p w14:paraId="53A8C065" w14:textId="498EEDF5" w:rsidR="13D05368" w:rsidRDefault="13D05368" w:rsidP="13D05368">
      <w:pPr>
        <w:rPr>
          <w:rFonts w:eastAsia="Arial"/>
          <w:b/>
          <w:bCs/>
          <w:sz w:val="22"/>
        </w:rPr>
      </w:pPr>
    </w:p>
    <w:p w14:paraId="75C47316" w14:textId="77777777" w:rsidR="00F52CDE" w:rsidRDefault="00F52CDE" w:rsidP="13D05368">
      <w:pPr>
        <w:rPr>
          <w:rFonts w:eastAsia="Arial"/>
          <w:b/>
          <w:bCs/>
          <w:sz w:val="22"/>
        </w:rPr>
      </w:pPr>
    </w:p>
    <w:p w14:paraId="4F74837C" w14:textId="77777777" w:rsidR="00ED5DAD" w:rsidRDefault="00ED5DAD" w:rsidP="13D05368">
      <w:pPr>
        <w:rPr>
          <w:rFonts w:eastAsia="Arial"/>
          <w:b/>
          <w:bCs/>
          <w:sz w:val="22"/>
        </w:rPr>
      </w:pPr>
    </w:p>
    <w:p w14:paraId="4484429C" w14:textId="77777777" w:rsidR="00ED5DAD" w:rsidRPr="00601BF8" w:rsidRDefault="00ED5DAD" w:rsidP="13D05368">
      <w:pPr>
        <w:rPr>
          <w:rFonts w:eastAsia="Arial"/>
          <w:b/>
          <w:bCs/>
          <w:sz w:val="22"/>
        </w:rPr>
      </w:pPr>
    </w:p>
    <w:p w14:paraId="6D2C6EE0" w14:textId="2752E99B" w:rsidR="00601BF8" w:rsidRPr="00601BF8" w:rsidRDefault="2F4359A6" w:rsidP="13D05368">
      <w:pPr>
        <w:spacing w:line="240" w:lineRule="auto"/>
        <w:rPr>
          <w:rFonts w:eastAsia="Arial"/>
          <w:b/>
          <w:bCs/>
          <w:sz w:val="22"/>
        </w:rPr>
      </w:pPr>
      <w:r w:rsidRPr="13D05368">
        <w:rPr>
          <w:rFonts w:eastAsia="Arial"/>
          <w:b/>
          <w:bCs/>
          <w:sz w:val="22"/>
        </w:rPr>
        <w:lastRenderedPageBreak/>
        <w:t>References:</w:t>
      </w:r>
    </w:p>
    <w:p w14:paraId="29AD5DD3" w14:textId="2F999CC0" w:rsidR="008E2924" w:rsidRDefault="00CD32F9" w:rsidP="13D05368">
      <w:pPr>
        <w:tabs>
          <w:tab w:val="left" w:pos="3111"/>
        </w:tabs>
        <w:spacing w:line="240" w:lineRule="auto"/>
        <w:rPr>
          <w:rFonts w:eastAsia="Arial"/>
          <w:sz w:val="22"/>
        </w:rPr>
      </w:pPr>
      <w:r>
        <w:tab/>
      </w:r>
    </w:p>
    <w:p w14:paraId="4813FAA8" w14:textId="77777777" w:rsidR="002A472A" w:rsidRPr="002A472A" w:rsidRDefault="008E2924" w:rsidP="002A472A">
      <w:pPr>
        <w:pStyle w:val="Bibliography"/>
      </w:pPr>
      <w:r>
        <w:fldChar w:fldCharType="begin"/>
      </w:r>
      <w:r>
        <w:instrText xml:space="preserve"> ADDIN ZOTERO_BIBL {"uncited":[],"omitted":[],"custom":[]} CSL_BIBLIOGRAPHY </w:instrText>
      </w:r>
      <w:r>
        <w:fldChar w:fldCharType="separate"/>
      </w:r>
      <w:r w:rsidR="002A472A" w:rsidRPr="002A472A">
        <w:t>1.</w:t>
      </w:r>
      <w:r w:rsidR="002A472A" w:rsidRPr="002A472A">
        <w:tab/>
        <w:t xml:space="preserve">Gupta, R. </w:t>
      </w:r>
      <w:r w:rsidR="002A472A" w:rsidRPr="002A472A">
        <w:rPr>
          <w:i/>
          <w:iCs/>
        </w:rPr>
        <w:t>et al.</w:t>
      </w:r>
      <w:r w:rsidR="002A472A" w:rsidRPr="002A472A">
        <w:t xml:space="preserve"> The economic impact of childhood food allergy in the United States. </w:t>
      </w:r>
      <w:r w:rsidR="002A472A" w:rsidRPr="002A472A">
        <w:rPr>
          <w:i/>
          <w:iCs/>
        </w:rPr>
        <w:t xml:space="preserve">JAMA </w:t>
      </w:r>
      <w:proofErr w:type="spellStart"/>
      <w:r w:rsidR="002A472A" w:rsidRPr="002A472A">
        <w:rPr>
          <w:i/>
          <w:iCs/>
        </w:rPr>
        <w:t>Pediatr</w:t>
      </w:r>
      <w:proofErr w:type="spellEnd"/>
      <w:r w:rsidR="002A472A" w:rsidRPr="002A472A">
        <w:rPr>
          <w:i/>
          <w:iCs/>
        </w:rPr>
        <w:t>.</w:t>
      </w:r>
      <w:r w:rsidR="002A472A" w:rsidRPr="002A472A">
        <w:t xml:space="preserve"> </w:t>
      </w:r>
      <w:r w:rsidR="002A472A" w:rsidRPr="002A472A">
        <w:rPr>
          <w:b/>
          <w:bCs/>
        </w:rPr>
        <w:t>167</w:t>
      </w:r>
      <w:r w:rsidR="002A472A" w:rsidRPr="002A472A">
        <w:t>, 1026–1031 (2013).</w:t>
      </w:r>
    </w:p>
    <w:p w14:paraId="4183CB02" w14:textId="77777777" w:rsidR="002A472A" w:rsidRPr="002A472A" w:rsidRDefault="002A472A" w:rsidP="002A472A">
      <w:pPr>
        <w:pStyle w:val="Bibliography"/>
      </w:pPr>
      <w:r w:rsidRPr="002A472A">
        <w:t>2.</w:t>
      </w:r>
      <w:r w:rsidRPr="002A472A">
        <w:tab/>
      </w:r>
      <w:proofErr w:type="spellStart"/>
      <w:r w:rsidRPr="002A472A">
        <w:t>Bilaver</w:t>
      </w:r>
      <w:proofErr w:type="spellEnd"/>
      <w:r w:rsidRPr="002A472A">
        <w:t xml:space="preserve">, L. A., Kester, K. M., Smith, B. M. &amp; Gupta, R. S. Socioeconomic Disparities in the Economic Impact of Childhood Food Allergy. </w:t>
      </w:r>
      <w:r w:rsidRPr="002A472A">
        <w:rPr>
          <w:i/>
          <w:iCs/>
        </w:rPr>
        <w:t>Pediatrics</w:t>
      </w:r>
      <w:r w:rsidRPr="002A472A">
        <w:t xml:space="preserve"> </w:t>
      </w:r>
      <w:r w:rsidRPr="002A472A">
        <w:rPr>
          <w:b/>
          <w:bCs/>
        </w:rPr>
        <w:t>137</w:t>
      </w:r>
      <w:r w:rsidRPr="002A472A">
        <w:t>, e20153678 (2016).</w:t>
      </w:r>
    </w:p>
    <w:p w14:paraId="780FEC9B" w14:textId="77777777" w:rsidR="002A472A" w:rsidRPr="002A472A" w:rsidRDefault="002A472A" w:rsidP="002A472A">
      <w:pPr>
        <w:pStyle w:val="Bibliography"/>
      </w:pPr>
      <w:r w:rsidRPr="002A472A">
        <w:t>3.</w:t>
      </w:r>
      <w:r w:rsidRPr="002A472A">
        <w:tab/>
        <w:t xml:space="preserve">Jiang, J., Warren, C. M., Brewer, A., </w:t>
      </w:r>
      <w:proofErr w:type="spellStart"/>
      <w:r w:rsidRPr="002A472A">
        <w:t>Soffer</w:t>
      </w:r>
      <w:proofErr w:type="spellEnd"/>
      <w:r w:rsidRPr="002A472A">
        <w:t xml:space="preserve">, G. &amp; Gupta, R. S. Racial, Ethnic, and Socioeconomic Differences in Food Allergies in the US. </w:t>
      </w:r>
      <w:r w:rsidRPr="002A472A">
        <w:rPr>
          <w:i/>
          <w:iCs/>
        </w:rPr>
        <w:t xml:space="preserve">JAMA </w:t>
      </w:r>
      <w:proofErr w:type="spellStart"/>
      <w:r w:rsidRPr="002A472A">
        <w:rPr>
          <w:i/>
          <w:iCs/>
        </w:rPr>
        <w:t>Netw</w:t>
      </w:r>
      <w:proofErr w:type="spellEnd"/>
      <w:r w:rsidRPr="002A472A">
        <w:rPr>
          <w:i/>
          <w:iCs/>
        </w:rPr>
        <w:t>. Open</w:t>
      </w:r>
      <w:r w:rsidRPr="002A472A">
        <w:t xml:space="preserve"> </w:t>
      </w:r>
      <w:r w:rsidRPr="002A472A">
        <w:rPr>
          <w:b/>
          <w:bCs/>
        </w:rPr>
        <w:t>6</w:t>
      </w:r>
      <w:r w:rsidRPr="002A472A">
        <w:t>, e2318162 (2023).</w:t>
      </w:r>
    </w:p>
    <w:p w14:paraId="15F4F132" w14:textId="77777777" w:rsidR="002A472A" w:rsidRPr="002A472A" w:rsidRDefault="002A472A" w:rsidP="002A472A">
      <w:pPr>
        <w:pStyle w:val="Bibliography"/>
      </w:pPr>
      <w:r w:rsidRPr="002A472A">
        <w:t>4.</w:t>
      </w:r>
      <w:r w:rsidRPr="002A472A">
        <w:tab/>
        <w:t xml:space="preserve">Kay-Green, S., Thivalapill, N., </w:t>
      </w:r>
      <w:proofErr w:type="spellStart"/>
      <w:r w:rsidRPr="002A472A">
        <w:t>Bilaver</w:t>
      </w:r>
      <w:proofErr w:type="spellEnd"/>
      <w:r w:rsidRPr="002A472A">
        <w:t xml:space="preserve">, L., Jiang, J. &amp; Gupta, R. Food Allergy Reaction Severity and Management in a Diverse Population. </w:t>
      </w:r>
      <w:r w:rsidRPr="002A472A">
        <w:rPr>
          <w:i/>
          <w:iCs/>
        </w:rPr>
        <w:t xml:space="preserve">J. Allergy Clin. Immunol. </w:t>
      </w:r>
      <w:proofErr w:type="spellStart"/>
      <w:r w:rsidRPr="002A472A">
        <w:rPr>
          <w:i/>
          <w:iCs/>
        </w:rPr>
        <w:t>Pract</w:t>
      </w:r>
      <w:proofErr w:type="spellEnd"/>
      <w:r w:rsidRPr="002A472A">
        <w:rPr>
          <w:i/>
          <w:iCs/>
        </w:rPr>
        <w:t>.</w:t>
      </w:r>
      <w:r w:rsidRPr="002A472A">
        <w:t xml:space="preserve"> S2213-2198(24)00016–3 (2024) </w:t>
      </w:r>
      <w:proofErr w:type="gramStart"/>
      <w:r w:rsidRPr="002A472A">
        <w:t>doi:10.1016/j.jaip</w:t>
      </w:r>
      <w:proofErr w:type="gramEnd"/>
      <w:r w:rsidRPr="002A472A">
        <w:t>.2023.12.052.</w:t>
      </w:r>
    </w:p>
    <w:p w14:paraId="70D5BA71" w14:textId="77777777" w:rsidR="002A472A" w:rsidRPr="002A472A" w:rsidRDefault="002A472A" w:rsidP="002A472A">
      <w:pPr>
        <w:pStyle w:val="Bibliography"/>
      </w:pPr>
      <w:r w:rsidRPr="002A472A">
        <w:t>5.</w:t>
      </w:r>
      <w:r w:rsidRPr="002A472A">
        <w:tab/>
      </w:r>
      <w:proofErr w:type="spellStart"/>
      <w:r w:rsidRPr="002A472A">
        <w:t>Mahdavinia</w:t>
      </w:r>
      <w:proofErr w:type="spellEnd"/>
      <w:r w:rsidRPr="002A472A">
        <w:t xml:space="preserve">, M. </w:t>
      </w:r>
      <w:r w:rsidRPr="002A472A">
        <w:rPr>
          <w:i/>
          <w:iCs/>
        </w:rPr>
        <w:t>et al.</w:t>
      </w:r>
      <w:r w:rsidRPr="002A472A">
        <w:t xml:space="preserve"> African American children are more likely to be allergic to shellfish and finfish: findings from FORWARD, a multisite cohort study. </w:t>
      </w:r>
      <w:r w:rsidRPr="002A472A">
        <w:rPr>
          <w:i/>
          <w:iCs/>
        </w:rPr>
        <w:t xml:space="preserve">J. Allergy Clin. Immunol. </w:t>
      </w:r>
      <w:proofErr w:type="spellStart"/>
      <w:r w:rsidRPr="002A472A">
        <w:rPr>
          <w:i/>
          <w:iCs/>
        </w:rPr>
        <w:t>Pract</w:t>
      </w:r>
      <w:proofErr w:type="spellEnd"/>
      <w:r w:rsidRPr="002A472A">
        <w:rPr>
          <w:i/>
          <w:iCs/>
        </w:rPr>
        <w:t>.</w:t>
      </w:r>
      <w:r w:rsidRPr="002A472A">
        <w:t xml:space="preserve"> </w:t>
      </w:r>
      <w:r w:rsidRPr="002A472A">
        <w:rPr>
          <w:b/>
          <w:bCs/>
        </w:rPr>
        <w:t>9</w:t>
      </w:r>
      <w:r w:rsidRPr="002A472A">
        <w:t>, 2867-2873.e1 (2021).</w:t>
      </w:r>
    </w:p>
    <w:p w14:paraId="525E727E" w14:textId="77777777" w:rsidR="002A472A" w:rsidRPr="002A472A" w:rsidRDefault="002A472A" w:rsidP="002A472A">
      <w:pPr>
        <w:pStyle w:val="Bibliography"/>
      </w:pPr>
      <w:r w:rsidRPr="002A472A">
        <w:t>6.</w:t>
      </w:r>
      <w:r w:rsidRPr="002A472A">
        <w:tab/>
        <w:t xml:space="preserve">Warren, C. </w:t>
      </w:r>
      <w:r w:rsidRPr="002A472A">
        <w:rPr>
          <w:i/>
          <w:iCs/>
        </w:rPr>
        <w:t>et al.</w:t>
      </w:r>
      <w:r w:rsidRPr="002A472A">
        <w:t xml:space="preserve"> ECONOMIC BURDEN OF FOOD ALLERGY IS GREATER IN HOUSEHOLDS WITH CHILDREN ALLERGIC TO MORE FOODS. </w:t>
      </w:r>
      <w:r w:rsidRPr="002A472A">
        <w:rPr>
          <w:i/>
          <w:iCs/>
        </w:rPr>
        <w:t>Ann. Allergy. Asthma. Immunol.</w:t>
      </w:r>
      <w:r w:rsidRPr="002A472A">
        <w:t xml:space="preserve"> </w:t>
      </w:r>
      <w:r w:rsidRPr="002A472A">
        <w:rPr>
          <w:b/>
          <w:bCs/>
        </w:rPr>
        <w:t>131</w:t>
      </w:r>
      <w:r w:rsidRPr="002A472A">
        <w:t>, S66 (2023).</w:t>
      </w:r>
    </w:p>
    <w:p w14:paraId="0C5B25EA" w14:textId="77777777" w:rsidR="002A472A" w:rsidRPr="002A472A" w:rsidRDefault="002A472A" w:rsidP="002A472A">
      <w:pPr>
        <w:pStyle w:val="Bibliography"/>
      </w:pPr>
      <w:r w:rsidRPr="002A472A">
        <w:t>7.</w:t>
      </w:r>
      <w:r w:rsidRPr="002A472A">
        <w:tab/>
      </w:r>
      <w:proofErr w:type="spellStart"/>
      <w:r w:rsidRPr="002A472A">
        <w:t>Pappalardo</w:t>
      </w:r>
      <w:proofErr w:type="spellEnd"/>
      <w:r w:rsidRPr="002A472A">
        <w:t xml:space="preserve">, A. A. </w:t>
      </w:r>
      <w:r w:rsidRPr="002A472A">
        <w:rPr>
          <w:i/>
          <w:iCs/>
        </w:rPr>
        <w:t>et al.</w:t>
      </w:r>
      <w:r w:rsidRPr="002A472A">
        <w:t xml:space="preserve"> Self-Efficacy Among Caregivers of Children </w:t>
      </w:r>
      <w:proofErr w:type="gramStart"/>
      <w:r w:rsidRPr="002A472A">
        <w:t>With</w:t>
      </w:r>
      <w:proofErr w:type="gramEnd"/>
      <w:r w:rsidRPr="002A472A">
        <w:t xml:space="preserve"> Food Allergy: A Cohort Study. </w:t>
      </w:r>
      <w:r w:rsidRPr="002A472A">
        <w:rPr>
          <w:i/>
          <w:iCs/>
        </w:rPr>
        <w:t xml:space="preserve">J. </w:t>
      </w:r>
      <w:proofErr w:type="spellStart"/>
      <w:r w:rsidRPr="002A472A">
        <w:rPr>
          <w:i/>
          <w:iCs/>
        </w:rPr>
        <w:t>Pediatr</w:t>
      </w:r>
      <w:proofErr w:type="spellEnd"/>
      <w:r w:rsidRPr="002A472A">
        <w:rPr>
          <w:i/>
          <w:iCs/>
        </w:rPr>
        <w:t>. Psychol.</w:t>
      </w:r>
      <w:r w:rsidRPr="002A472A">
        <w:t xml:space="preserve"> </w:t>
      </w:r>
      <w:r w:rsidRPr="002A472A">
        <w:rPr>
          <w:b/>
          <w:bCs/>
        </w:rPr>
        <w:t>47</w:t>
      </w:r>
      <w:r w:rsidRPr="002A472A">
        <w:t>, 674–684 (2022).</w:t>
      </w:r>
    </w:p>
    <w:p w14:paraId="1FCA4931" w14:textId="77777777" w:rsidR="002A472A" w:rsidRPr="002A472A" w:rsidRDefault="002A472A" w:rsidP="002A472A">
      <w:pPr>
        <w:pStyle w:val="Bibliography"/>
      </w:pPr>
      <w:r w:rsidRPr="002A472A">
        <w:t>8.</w:t>
      </w:r>
      <w:r w:rsidRPr="002A472A">
        <w:tab/>
        <w:t xml:space="preserve">Wallace, J., </w:t>
      </w:r>
      <w:proofErr w:type="spellStart"/>
      <w:r w:rsidRPr="002A472A">
        <w:t>Lollo</w:t>
      </w:r>
      <w:proofErr w:type="spellEnd"/>
      <w:r w:rsidRPr="002A472A">
        <w:t xml:space="preserve">, A., </w:t>
      </w:r>
      <w:proofErr w:type="spellStart"/>
      <w:r w:rsidRPr="002A472A">
        <w:t>Duchowny</w:t>
      </w:r>
      <w:proofErr w:type="spellEnd"/>
      <w:r w:rsidRPr="002A472A">
        <w:t xml:space="preserve">, K. A., Lavallee, M. &amp; </w:t>
      </w:r>
      <w:proofErr w:type="spellStart"/>
      <w:r w:rsidRPr="002A472A">
        <w:t>Ndumele</w:t>
      </w:r>
      <w:proofErr w:type="spellEnd"/>
      <w:r w:rsidRPr="002A472A">
        <w:t xml:space="preserve">, C. D. Disparities in Health Care Spending and Utilization Among Black and White Medicaid Enrollees. </w:t>
      </w:r>
      <w:r w:rsidRPr="002A472A">
        <w:rPr>
          <w:i/>
          <w:iCs/>
        </w:rPr>
        <w:t>JAMA Health Forum</w:t>
      </w:r>
      <w:r w:rsidRPr="002A472A">
        <w:t xml:space="preserve"> </w:t>
      </w:r>
      <w:r w:rsidRPr="002A472A">
        <w:rPr>
          <w:b/>
          <w:bCs/>
        </w:rPr>
        <w:t>3</w:t>
      </w:r>
      <w:r w:rsidRPr="002A472A">
        <w:t>, e221398 (2022).</w:t>
      </w:r>
    </w:p>
    <w:p w14:paraId="2E66A5B5" w14:textId="77777777" w:rsidR="002A472A" w:rsidRPr="002A472A" w:rsidRDefault="002A472A" w:rsidP="002A472A">
      <w:pPr>
        <w:pStyle w:val="Bibliography"/>
      </w:pPr>
      <w:r w:rsidRPr="002A472A">
        <w:t>9.</w:t>
      </w:r>
      <w:r w:rsidRPr="002A472A">
        <w:tab/>
        <w:t xml:space="preserve">Dickman, S. L. </w:t>
      </w:r>
      <w:r w:rsidRPr="002A472A">
        <w:rPr>
          <w:i/>
          <w:iCs/>
        </w:rPr>
        <w:t>et al.</w:t>
      </w:r>
      <w:r w:rsidRPr="002A472A">
        <w:t xml:space="preserve"> Trends in Health Care Use Among Black and White Persons in the US, 1963-2019. </w:t>
      </w:r>
      <w:r w:rsidRPr="002A472A">
        <w:rPr>
          <w:i/>
          <w:iCs/>
        </w:rPr>
        <w:t xml:space="preserve">JAMA </w:t>
      </w:r>
      <w:proofErr w:type="spellStart"/>
      <w:r w:rsidRPr="002A472A">
        <w:rPr>
          <w:i/>
          <w:iCs/>
        </w:rPr>
        <w:t>Netw</w:t>
      </w:r>
      <w:proofErr w:type="spellEnd"/>
      <w:r w:rsidRPr="002A472A">
        <w:rPr>
          <w:i/>
          <w:iCs/>
        </w:rPr>
        <w:t>. Open</w:t>
      </w:r>
      <w:r w:rsidRPr="002A472A">
        <w:t xml:space="preserve"> </w:t>
      </w:r>
      <w:r w:rsidRPr="002A472A">
        <w:rPr>
          <w:b/>
          <w:bCs/>
        </w:rPr>
        <w:t>5</w:t>
      </w:r>
      <w:r w:rsidRPr="002A472A">
        <w:t>, e2217383 (2022).</w:t>
      </w:r>
    </w:p>
    <w:p w14:paraId="32EFE07B" w14:textId="77777777" w:rsidR="002A472A" w:rsidRPr="002A472A" w:rsidRDefault="002A472A" w:rsidP="002A472A">
      <w:pPr>
        <w:pStyle w:val="Bibliography"/>
      </w:pPr>
      <w:r w:rsidRPr="002A472A">
        <w:lastRenderedPageBreak/>
        <w:t>10.</w:t>
      </w:r>
      <w:r w:rsidRPr="002A472A">
        <w:tab/>
        <w:t xml:space="preserve">Dieleman, J. L. </w:t>
      </w:r>
      <w:r w:rsidRPr="002A472A">
        <w:rPr>
          <w:i/>
          <w:iCs/>
        </w:rPr>
        <w:t>et al.</w:t>
      </w:r>
      <w:r w:rsidRPr="002A472A">
        <w:t xml:space="preserve"> US Health Care Spending by Race and Ethnicity, 2002-2016. </w:t>
      </w:r>
      <w:r w:rsidRPr="002A472A">
        <w:rPr>
          <w:i/>
          <w:iCs/>
        </w:rPr>
        <w:t>JAMA</w:t>
      </w:r>
      <w:r w:rsidRPr="002A472A">
        <w:t xml:space="preserve"> </w:t>
      </w:r>
      <w:r w:rsidRPr="002A472A">
        <w:rPr>
          <w:b/>
          <w:bCs/>
        </w:rPr>
        <w:t>326</w:t>
      </w:r>
      <w:r w:rsidRPr="002A472A">
        <w:t>, 649–659 (2021).</w:t>
      </w:r>
    </w:p>
    <w:p w14:paraId="37838C5A" w14:textId="77777777" w:rsidR="002A472A" w:rsidRPr="002A472A" w:rsidRDefault="002A472A" w:rsidP="002A472A">
      <w:pPr>
        <w:pStyle w:val="Bibliography"/>
      </w:pPr>
      <w:r w:rsidRPr="002A472A">
        <w:t>11.</w:t>
      </w:r>
      <w:r w:rsidRPr="002A472A">
        <w:tab/>
      </w:r>
      <w:proofErr w:type="spellStart"/>
      <w:r w:rsidRPr="002A472A">
        <w:t>Dierick</w:t>
      </w:r>
      <w:proofErr w:type="spellEnd"/>
      <w:r w:rsidRPr="002A472A">
        <w:t xml:space="preserve">, B. J. H. </w:t>
      </w:r>
      <w:r w:rsidRPr="002A472A">
        <w:rPr>
          <w:i/>
          <w:iCs/>
        </w:rPr>
        <w:t>et al.</w:t>
      </w:r>
      <w:r w:rsidRPr="002A472A">
        <w:t xml:space="preserve"> Burden and socioeconomics of asthma, allergic rhinitis, atopic </w:t>
      </w:r>
      <w:proofErr w:type="gramStart"/>
      <w:r w:rsidRPr="002A472A">
        <w:t>dermatitis</w:t>
      </w:r>
      <w:proofErr w:type="gramEnd"/>
      <w:r w:rsidRPr="002A472A">
        <w:t xml:space="preserve"> and food allergy. </w:t>
      </w:r>
      <w:r w:rsidRPr="002A472A">
        <w:rPr>
          <w:i/>
          <w:iCs/>
        </w:rPr>
        <w:t xml:space="preserve">Expert Rev. </w:t>
      </w:r>
      <w:proofErr w:type="spellStart"/>
      <w:r w:rsidRPr="002A472A">
        <w:rPr>
          <w:i/>
          <w:iCs/>
        </w:rPr>
        <w:t>Pharmacoecon</w:t>
      </w:r>
      <w:proofErr w:type="spellEnd"/>
      <w:r w:rsidRPr="002A472A">
        <w:rPr>
          <w:i/>
          <w:iCs/>
        </w:rPr>
        <w:t>. Outcomes Res.</w:t>
      </w:r>
      <w:r w:rsidRPr="002A472A">
        <w:t xml:space="preserve"> </w:t>
      </w:r>
      <w:r w:rsidRPr="002A472A">
        <w:rPr>
          <w:b/>
          <w:bCs/>
        </w:rPr>
        <w:t>20</w:t>
      </w:r>
      <w:r w:rsidRPr="002A472A">
        <w:t>, 437–453 (2020).</w:t>
      </w:r>
    </w:p>
    <w:p w14:paraId="4CAC1EFA" w14:textId="77777777" w:rsidR="002A472A" w:rsidRPr="002A472A" w:rsidRDefault="002A472A" w:rsidP="002A472A">
      <w:pPr>
        <w:pStyle w:val="Bibliography"/>
      </w:pPr>
      <w:r w:rsidRPr="002A472A">
        <w:t>12.</w:t>
      </w:r>
      <w:r w:rsidRPr="002A472A">
        <w:tab/>
        <w:t xml:space="preserve">Walker, R. J. </w:t>
      </w:r>
      <w:r w:rsidRPr="002A472A">
        <w:rPr>
          <w:i/>
          <w:iCs/>
        </w:rPr>
        <w:t>et al.</w:t>
      </w:r>
      <w:r w:rsidRPr="002A472A">
        <w:t xml:space="preserve"> Trends in Food Insecurity in the United States from 2011–2017: Disparities by Age, Sex, Race/Ethnicity, and Income. </w:t>
      </w:r>
      <w:proofErr w:type="spellStart"/>
      <w:r w:rsidRPr="002A472A">
        <w:rPr>
          <w:i/>
          <w:iCs/>
        </w:rPr>
        <w:t>Popul</w:t>
      </w:r>
      <w:proofErr w:type="spellEnd"/>
      <w:r w:rsidRPr="002A472A">
        <w:rPr>
          <w:i/>
          <w:iCs/>
        </w:rPr>
        <w:t xml:space="preserve">. Health </w:t>
      </w:r>
      <w:proofErr w:type="spellStart"/>
      <w:r w:rsidRPr="002A472A">
        <w:rPr>
          <w:i/>
          <w:iCs/>
        </w:rPr>
        <w:t>Manag</w:t>
      </w:r>
      <w:proofErr w:type="spellEnd"/>
      <w:r w:rsidRPr="002A472A">
        <w:rPr>
          <w:i/>
          <w:iCs/>
        </w:rPr>
        <w:t>.</w:t>
      </w:r>
      <w:r w:rsidRPr="002A472A">
        <w:t xml:space="preserve"> </w:t>
      </w:r>
      <w:r w:rsidRPr="002A472A">
        <w:rPr>
          <w:b/>
          <w:bCs/>
        </w:rPr>
        <w:t>24</w:t>
      </w:r>
      <w:r w:rsidRPr="002A472A">
        <w:t>, 496–501 (2021).</w:t>
      </w:r>
    </w:p>
    <w:p w14:paraId="2BB0A989" w14:textId="23319B8E" w:rsidR="008E2924" w:rsidRDefault="008E2924" w:rsidP="13D05368">
      <w:pPr>
        <w:spacing w:line="240" w:lineRule="auto"/>
        <w:rPr>
          <w:rFonts w:eastAsia="Arial"/>
          <w:sz w:val="22"/>
        </w:rPr>
      </w:pPr>
      <w:r>
        <w:fldChar w:fldCharType="end"/>
      </w:r>
    </w:p>
    <w:sectPr w:rsidR="008E2924" w:rsidSect="00FF2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73"/>
    <w:rsid w:val="00002B19"/>
    <w:rsid w:val="00007003"/>
    <w:rsid w:val="00007D30"/>
    <w:rsid w:val="00010A9A"/>
    <w:rsid w:val="00010CAD"/>
    <w:rsid w:val="0001180B"/>
    <w:rsid w:val="0001610C"/>
    <w:rsid w:val="00020126"/>
    <w:rsid w:val="00026763"/>
    <w:rsid w:val="00030148"/>
    <w:rsid w:val="00031371"/>
    <w:rsid w:val="00035B48"/>
    <w:rsid w:val="0003600F"/>
    <w:rsid w:val="00037B9A"/>
    <w:rsid w:val="00052B8A"/>
    <w:rsid w:val="000536FE"/>
    <w:rsid w:val="00055AF9"/>
    <w:rsid w:val="00066BA4"/>
    <w:rsid w:val="0007215C"/>
    <w:rsid w:val="00077B78"/>
    <w:rsid w:val="00077F24"/>
    <w:rsid w:val="00080AD4"/>
    <w:rsid w:val="0008461D"/>
    <w:rsid w:val="0008492E"/>
    <w:rsid w:val="00087619"/>
    <w:rsid w:val="00092280"/>
    <w:rsid w:val="00093B60"/>
    <w:rsid w:val="000A1070"/>
    <w:rsid w:val="000A2687"/>
    <w:rsid w:val="000A3348"/>
    <w:rsid w:val="000A3EE7"/>
    <w:rsid w:val="000A6892"/>
    <w:rsid w:val="000B23EB"/>
    <w:rsid w:val="000B363F"/>
    <w:rsid w:val="000B60B0"/>
    <w:rsid w:val="000C192D"/>
    <w:rsid w:val="000D3957"/>
    <w:rsid w:val="000D57DD"/>
    <w:rsid w:val="000D70A3"/>
    <w:rsid w:val="000D7461"/>
    <w:rsid w:val="000D769C"/>
    <w:rsid w:val="000E1E20"/>
    <w:rsid w:val="000E302D"/>
    <w:rsid w:val="000E5D07"/>
    <w:rsid w:val="000F000B"/>
    <w:rsid w:val="000F157D"/>
    <w:rsid w:val="000F2BEE"/>
    <w:rsid w:val="000F5664"/>
    <w:rsid w:val="000F57F1"/>
    <w:rsid w:val="000F5E73"/>
    <w:rsid w:val="001002ED"/>
    <w:rsid w:val="00102FB6"/>
    <w:rsid w:val="00103139"/>
    <w:rsid w:val="00103FFE"/>
    <w:rsid w:val="00105ACC"/>
    <w:rsid w:val="00106D20"/>
    <w:rsid w:val="001073E3"/>
    <w:rsid w:val="00111FF6"/>
    <w:rsid w:val="001148E1"/>
    <w:rsid w:val="00115C26"/>
    <w:rsid w:val="00121FC4"/>
    <w:rsid w:val="00125BF3"/>
    <w:rsid w:val="00127436"/>
    <w:rsid w:val="0013154E"/>
    <w:rsid w:val="001325C8"/>
    <w:rsid w:val="00133C31"/>
    <w:rsid w:val="0013549C"/>
    <w:rsid w:val="00144B01"/>
    <w:rsid w:val="001628AE"/>
    <w:rsid w:val="00165DF4"/>
    <w:rsid w:val="00171217"/>
    <w:rsid w:val="001714BF"/>
    <w:rsid w:val="001727D9"/>
    <w:rsid w:val="0017640A"/>
    <w:rsid w:val="001836B0"/>
    <w:rsid w:val="0018611F"/>
    <w:rsid w:val="0018671C"/>
    <w:rsid w:val="00190207"/>
    <w:rsid w:val="00193F00"/>
    <w:rsid w:val="001954F3"/>
    <w:rsid w:val="0019765E"/>
    <w:rsid w:val="001A31BB"/>
    <w:rsid w:val="001A3BA8"/>
    <w:rsid w:val="001B0104"/>
    <w:rsid w:val="001B2E54"/>
    <w:rsid w:val="001B394B"/>
    <w:rsid w:val="001C126B"/>
    <w:rsid w:val="001C1547"/>
    <w:rsid w:val="001C1976"/>
    <w:rsid w:val="001C2862"/>
    <w:rsid w:val="001C3A19"/>
    <w:rsid w:val="001C64F4"/>
    <w:rsid w:val="001C7931"/>
    <w:rsid w:val="001D20DE"/>
    <w:rsid w:val="001D5A7B"/>
    <w:rsid w:val="001D6CEB"/>
    <w:rsid w:val="001D76B2"/>
    <w:rsid w:val="001E0E75"/>
    <w:rsid w:val="001E22F3"/>
    <w:rsid w:val="001E4DD6"/>
    <w:rsid w:val="001F1F0F"/>
    <w:rsid w:val="001F348A"/>
    <w:rsid w:val="00202511"/>
    <w:rsid w:val="002056E6"/>
    <w:rsid w:val="00207ADC"/>
    <w:rsid w:val="002110AC"/>
    <w:rsid w:val="002136D1"/>
    <w:rsid w:val="002137C6"/>
    <w:rsid w:val="00215AAB"/>
    <w:rsid w:val="002179AF"/>
    <w:rsid w:val="0022034D"/>
    <w:rsid w:val="00221D44"/>
    <w:rsid w:val="002317CC"/>
    <w:rsid w:val="0023194A"/>
    <w:rsid w:val="00231EAC"/>
    <w:rsid w:val="0023319D"/>
    <w:rsid w:val="002335E5"/>
    <w:rsid w:val="00233781"/>
    <w:rsid w:val="002338AE"/>
    <w:rsid w:val="002345F1"/>
    <w:rsid w:val="00235F08"/>
    <w:rsid w:val="002449C9"/>
    <w:rsid w:val="002461A8"/>
    <w:rsid w:val="00246987"/>
    <w:rsid w:val="0025127B"/>
    <w:rsid w:val="00251E86"/>
    <w:rsid w:val="00252FE7"/>
    <w:rsid w:val="0025393E"/>
    <w:rsid w:val="00256994"/>
    <w:rsid w:val="002611DF"/>
    <w:rsid w:val="00271C6C"/>
    <w:rsid w:val="00272ED0"/>
    <w:rsid w:val="002731E7"/>
    <w:rsid w:val="00277DF9"/>
    <w:rsid w:val="00281160"/>
    <w:rsid w:val="0028202E"/>
    <w:rsid w:val="00282BCB"/>
    <w:rsid w:val="00287DF2"/>
    <w:rsid w:val="00294539"/>
    <w:rsid w:val="002A026C"/>
    <w:rsid w:val="002A138D"/>
    <w:rsid w:val="002A2946"/>
    <w:rsid w:val="002A412E"/>
    <w:rsid w:val="002A45E1"/>
    <w:rsid w:val="002A472A"/>
    <w:rsid w:val="002A6FCE"/>
    <w:rsid w:val="002A71DA"/>
    <w:rsid w:val="002B4DDF"/>
    <w:rsid w:val="002B7557"/>
    <w:rsid w:val="002C1E06"/>
    <w:rsid w:val="002C3831"/>
    <w:rsid w:val="002C4769"/>
    <w:rsid w:val="002C48DE"/>
    <w:rsid w:val="002C67A7"/>
    <w:rsid w:val="002D0A5E"/>
    <w:rsid w:val="002D19A1"/>
    <w:rsid w:val="002D4B99"/>
    <w:rsid w:val="002E0092"/>
    <w:rsid w:val="002E0D51"/>
    <w:rsid w:val="002E34C8"/>
    <w:rsid w:val="002E6879"/>
    <w:rsid w:val="002F3A33"/>
    <w:rsid w:val="002F3BA8"/>
    <w:rsid w:val="00301693"/>
    <w:rsid w:val="003043F5"/>
    <w:rsid w:val="00305DF7"/>
    <w:rsid w:val="00305E93"/>
    <w:rsid w:val="0030717A"/>
    <w:rsid w:val="00307402"/>
    <w:rsid w:val="00316076"/>
    <w:rsid w:val="00316ABA"/>
    <w:rsid w:val="0031746A"/>
    <w:rsid w:val="00317478"/>
    <w:rsid w:val="00317979"/>
    <w:rsid w:val="00321027"/>
    <w:rsid w:val="00321B0B"/>
    <w:rsid w:val="0032387E"/>
    <w:rsid w:val="00324061"/>
    <w:rsid w:val="00326D5A"/>
    <w:rsid w:val="00330E4E"/>
    <w:rsid w:val="003360E1"/>
    <w:rsid w:val="00345646"/>
    <w:rsid w:val="003469B2"/>
    <w:rsid w:val="00350ABD"/>
    <w:rsid w:val="003522B5"/>
    <w:rsid w:val="00353978"/>
    <w:rsid w:val="00353CF4"/>
    <w:rsid w:val="0035465C"/>
    <w:rsid w:val="003562AA"/>
    <w:rsid w:val="003647FF"/>
    <w:rsid w:val="003711B0"/>
    <w:rsid w:val="00373AB9"/>
    <w:rsid w:val="00375094"/>
    <w:rsid w:val="00375671"/>
    <w:rsid w:val="00375FA9"/>
    <w:rsid w:val="00383576"/>
    <w:rsid w:val="00383DB5"/>
    <w:rsid w:val="003844C8"/>
    <w:rsid w:val="00384F9F"/>
    <w:rsid w:val="003856C3"/>
    <w:rsid w:val="00391FEC"/>
    <w:rsid w:val="00393668"/>
    <w:rsid w:val="00396358"/>
    <w:rsid w:val="003A3B07"/>
    <w:rsid w:val="003A687A"/>
    <w:rsid w:val="003B0C8F"/>
    <w:rsid w:val="003B7017"/>
    <w:rsid w:val="003C0BC1"/>
    <w:rsid w:val="003C655E"/>
    <w:rsid w:val="003D1B9B"/>
    <w:rsid w:val="003D3EED"/>
    <w:rsid w:val="003D40BF"/>
    <w:rsid w:val="003E140A"/>
    <w:rsid w:val="003E1CE1"/>
    <w:rsid w:val="003E7EF3"/>
    <w:rsid w:val="003F0B5A"/>
    <w:rsid w:val="003F2115"/>
    <w:rsid w:val="003F5B52"/>
    <w:rsid w:val="003F6E0B"/>
    <w:rsid w:val="00400C4D"/>
    <w:rsid w:val="00401297"/>
    <w:rsid w:val="0040591E"/>
    <w:rsid w:val="004139A9"/>
    <w:rsid w:val="004142D2"/>
    <w:rsid w:val="00414FC5"/>
    <w:rsid w:val="00415CBD"/>
    <w:rsid w:val="004169FE"/>
    <w:rsid w:val="00423289"/>
    <w:rsid w:val="00430DD6"/>
    <w:rsid w:val="00432B2D"/>
    <w:rsid w:val="00435AC8"/>
    <w:rsid w:val="00436875"/>
    <w:rsid w:val="0043691F"/>
    <w:rsid w:val="0044090D"/>
    <w:rsid w:val="00441155"/>
    <w:rsid w:val="0044435A"/>
    <w:rsid w:val="00450CAF"/>
    <w:rsid w:val="00452716"/>
    <w:rsid w:val="0045C76D"/>
    <w:rsid w:val="00462B27"/>
    <w:rsid w:val="00464B94"/>
    <w:rsid w:val="004660D5"/>
    <w:rsid w:val="00467CFD"/>
    <w:rsid w:val="0047346E"/>
    <w:rsid w:val="00474D9F"/>
    <w:rsid w:val="00475EE4"/>
    <w:rsid w:val="00475F51"/>
    <w:rsid w:val="0047693A"/>
    <w:rsid w:val="004817BC"/>
    <w:rsid w:val="00481E7B"/>
    <w:rsid w:val="00484A6A"/>
    <w:rsid w:val="004879ED"/>
    <w:rsid w:val="004945C7"/>
    <w:rsid w:val="0049471A"/>
    <w:rsid w:val="00495F36"/>
    <w:rsid w:val="00496167"/>
    <w:rsid w:val="004A0989"/>
    <w:rsid w:val="004A1A90"/>
    <w:rsid w:val="004A266D"/>
    <w:rsid w:val="004A351F"/>
    <w:rsid w:val="004A78E9"/>
    <w:rsid w:val="004B0230"/>
    <w:rsid w:val="004B23FB"/>
    <w:rsid w:val="004B4F88"/>
    <w:rsid w:val="004B5630"/>
    <w:rsid w:val="004B79AD"/>
    <w:rsid w:val="004C2C56"/>
    <w:rsid w:val="004C4CF2"/>
    <w:rsid w:val="004C6674"/>
    <w:rsid w:val="004D20B0"/>
    <w:rsid w:val="004D29EF"/>
    <w:rsid w:val="004D3046"/>
    <w:rsid w:val="004D664C"/>
    <w:rsid w:val="004E16C5"/>
    <w:rsid w:val="004E3348"/>
    <w:rsid w:val="004E6687"/>
    <w:rsid w:val="004E6FA4"/>
    <w:rsid w:val="004EB099"/>
    <w:rsid w:val="004F5481"/>
    <w:rsid w:val="005038D0"/>
    <w:rsid w:val="00506102"/>
    <w:rsid w:val="00510776"/>
    <w:rsid w:val="0051115F"/>
    <w:rsid w:val="00513582"/>
    <w:rsid w:val="0051565C"/>
    <w:rsid w:val="0051723C"/>
    <w:rsid w:val="00517244"/>
    <w:rsid w:val="00517AE6"/>
    <w:rsid w:val="005205DF"/>
    <w:rsid w:val="00521C90"/>
    <w:rsid w:val="00522B8A"/>
    <w:rsid w:val="00523047"/>
    <w:rsid w:val="00523B30"/>
    <w:rsid w:val="00523B52"/>
    <w:rsid w:val="005267D9"/>
    <w:rsid w:val="005273E0"/>
    <w:rsid w:val="00530524"/>
    <w:rsid w:val="00530746"/>
    <w:rsid w:val="00530752"/>
    <w:rsid w:val="00531FCC"/>
    <w:rsid w:val="005330CA"/>
    <w:rsid w:val="00533988"/>
    <w:rsid w:val="00542FDD"/>
    <w:rsid w:val="005457E3"/>
    <w:rsid w:val="00552250"/>
    <w:rsid w:val="005536C9"/>
    <w:rsid w:val="005565D1"/>
    <w:rsid w:val="00557DC1"/>
    <w:rsid w:val="005605C4"/>
    <w:rsid w:val="00561708"/>
    <w:rsid w:val="005619D7"/>
    <w:rsid w:val="00563102"/>
    <w:rsid w:val="0057362F"/>
    <w:rsid w:val="00576E0A"/>
    <w:rsid w:val="00581D9A"/>
    <w:rsid w:val="005825B1"/>
    <w:rsid w:val="005856FE"/>
    <w:rsid w:val="00587ADB"/>
    <w:rsid w:val="00590E6D"/>
    <w:rsid w:val="005919FA"/>
    <w:rsid w:val="00595F7F"/>
    <w:rsid w:val="00596EED"/>
    <w:rsid w:val="005A4742"/>
    <w:rsid w:val="005A75A1"/>
    <w:rsid w:val="005B1E5D"/>
    <w:rsid w:val="005B6712"/>
    <w:rsid w:val="005B7E18"/>
    <w:rsid w:val="005C10D5"/>
    <w:rsid w:val="005C35AE"/>
    <w:rsid w:val="005D056A"/>
    <w:rsid w:val="005D15D2"/>
    <w:rsid w:val="005D6852"/>
    <w:rsid w:val="005E5E3D"/>
    <w:rsid w:val="005E7B80"/>
    <w:rsid w:val="005F03BE"/>
    <w:rsid w:val="005F672B"/>
    <w:rsid w:val="00601BF8"/>
    <w:rsid w:val="00602270"/>
    <w:rsid w:val="00604BA5"/>
    <w:rsid w:val="00610626"/>
    <w:rsid w:val="0061148E"/>
    <w:rsid w:val="00611B39"/>
    <w:rsid w:val="00613060"/>
    <w:rsid w:val="00614514"/>
    <w:rsid w:val="00614C1A"/>
    <w:rsid w:val="0061678A"/>
    <w:rsid w:val="006228FB"/>
    <w:rsid w:val="00622FB8"/>
    <w:rsid w:val="00632875"/>
    <w:rsid w:val="0063446B"/>
    <w:rsid w:val="006355E5"/>
    <w:rsid w:val="0063695F"/>
    <w:rsid w:val="00645F5A"/>
    <w:rsid w:val="00646A41"/>
    <w:rsid w:val="00652937"/>
    <w:rsid w:val="0065294C"/>
    <w:rsid w:val="00653BE5"/>
    <w:rsid w:val="0065564A"/>
    <w:rsid w:val="0066153F"/>
    <w:rsid w:val="006619D2"/>
    <w:rsid w:val="006633C8"/>
    <w:rsid w:val="00664C23"/>
    <w:rsid w:val="00664E85"/>
    <w:rsid w:val="00665220"/>
    <w:rsid w:val="006707A7"/>
    <w:rsid w:val="00671135"/>
    <w:rsid w:val="00671834"/>
    <w:rsid w:val="00671CC7"/>
    <w:rsid w:val="00680026"/>
    <w:rsid w:val="0068031B"/>
    <w:rsid w:val="00682A02"/>
    <w:rsid w:val="0068323F"/>
    <w:rsid w:val="0068367A"/>
    <w:rsid w:val="0068480E"/>
    <w:rsid w:val="00685059"/>
    <w:rsid w:val="00685E0E"/>
    <w:rsid w:val="0068720E"/>
    <w:rsid w:val="00687553"/>
    <w:rsid w:val="0069545C"/>
    <w:rsid w:val="006A03BE"/>
    <w:rsid w:val="006A1212"/>
    <w:rsid w:val="006A143A"/>
    <w:rsid w:val="006B7B21"/>
    <w:rsid w:val="006C5627"/>
    <w:rsid w:val="006C6054"/>
    <w:rsid w:val="006C79BD"/>
    <w:rsid w:val="006D37B2"/>
    <w:rsid w:val="006D4E44"/>
    <w:rsid w:val="006D6BA1"/>
    <w:rsid w:val="006D7A7E"/>
    <w:rsid w:val="006E15FF"/>
    <w:rsid w:val="006E5EDD"/>
    <w:rsid w:val="006E6C66"/>
    <w:rsid w:val="006F6414"/>
    <w:rsid w:val="006F6EE5"/>
    <w:rsid w:val="007028E3"/>
    <w:rsid w:val="00706462"/>
    <w:rsid w:val="00711324"/>
    <w:rsid w:val="0071141D"/>
    <w:rsid w:val="007121AB"/>
    <w:rsid w:val="00714A8E"/>
    <w:rsid w:val="00716D89"/>
    <w:rsid w:val="00720E6F"/>
    <w:rsid w:val="00723163"/>
    <w:rsid w:val="00724BEF"/>
    <w:rsid w:val="00727019"/>
    <w:rsid w:val="00727587"/>
    <w:rsid w:val="00731804"/>
    <w:rsid w:val="00731EC9"/>
    <w:rsid w:val="00735FA6"/>
    <w:rsid w:val="00743184"/>
    <w:rsid w:val="00745B77"/>
    <w:rsid w:val="00745D52"/>
    <w:rsid w:val="00746F02"/>
    <w:rsid w:val="0075008E"/>
    <w:rsid w:val="00750B03"/>
    <w:rsid w:val="00754B54"/>
    <w:rsid w:val="00760383"/>
    <w:rsid w:val="00763B58"/>
    <w:rsid w:val="0076429C"/>
    <w:rsid w:val="00764E28"/>
    <w:rsid w:val="00767E28"/>
    <w:rsid w:val="0077219F"/>
    <w:rsid w:val="00772514"/>
    <w:rsid w:val="0078149A"/>
    <w:rsid w:val="00781D96"/>
    <w:rsid w:val="00784BF0"/>
    <w:rsid w:val="007868C6"/>
    <w:rsid w:val="00787B8F"/>
    <w:rsid w:val="00787EB1"/>
    <w:rsid w:val="00791A8D"/>
    <w:rsid w:val="00792F75"/>
    <w:rsid w:val="007932AB"/>
    <w:rsid w:val="007935E6"/>
    <w:rsid w:val="00796D85"/>
    <w:rsid w:val="0079BE87"/>
    <w:rsid w:val="007A3B60"/>
    <w:rsid w:val="007A418F"/>
    <w:rsid w:val="007B700A"/>
    <w:rsid w:val="007C03F6"/>
    <w:rsid w:val="007C1213"/>
    <w:rsid w:val="007C35C3"/>
    <w:rsid w:val="007C4029"/>
    <w:rsid w:val="007C6DEB"/>
    <w:rsid w:val="007D3F59"/>
    <w:rsid w:val="007D6481"/>
    <w:rsid w:val="007E3F8C"/>
    <w:rsid w:val="007E3F9B"/>
    <w:rsid w:val="007E5518"/>
    <w:rsid w:val="007F03B7"/>
    <w:rsid w:val="007F2A3B"/>
    <w:rsid w:val="007F56F9"/>
    <w:rsid w:val="00802411"/>
    <w:rsid w:val="00804AD2"/>
    <w:rsid w:val="00806A8B"/>
    <w:rsid w:val="00807212"/>
    <w:rsid w:val="00810B81"/>
    <w:rsid w:val="008122B5"/>
    <w:rsid w:val="00812B89"/>
    <w:rsid w:val="00816229"/>
    <w:rsid w:val="00817591"/>
    <w:rsid w:val="00817C90"/>
    <w:rsid w:val="0083195A"/>
    <w:rsid w:val="00831FFF"/>
    <w:rsid w:val="00835C38"/>
    <w:rsid w:val="00843A19"/>
    <w:rsid w:val="00846E18"/>
    <w:rsid w:val="00847654"/>
    <w:rsid w:val="00851A26"/>
    <w:rsid w:val="0085695E"/>
    <w:rsid w:val="00856F27"/>
    <w:rsid w:val="00863702"/>
    <w:rsid w:val="008641B7"/>
    <w:rsid w:val="00864870"/>
    <w:rsid w:val="00865831"/>
    <w:rsid w:val="00867974"/>
    <w:rsid w:val="00871356"/>
    <w:rsid w:val="00885AEB"/>
    <w:rsid w:val="008862BA"/>
    <w:rsid w:val="00886F77"/>
    <w:rsid w:val="008912CF"/>
    <w:rsid w:val="00892FEF"/>
    <w:rsid w:val="00895D53"/>
    <w:rsid w:val="0089795F"/>
    <w:rsid w:val="008A0D23"/>
    <w:rsid w:val="008A14E2"/>
    <w:rsid w:val="008B00B7"/>
    <w:rsid w:val="008B0BDE"/>
    <w:rsid w:val="008B72EE"/>
    <w:rsid w:val="008B7750"/>
    <w:rsid w:val="008C0F56"/>
    <w:rsid w:val="008C1E8B"/>
    <w:rsid w:val="008C250E"/>
    <w:rsid w:val="008C57EB"/>
    <w:rsid w:val="008C6986"/>
    <w:rsid w:val="008C7C2D"/>
    <w:rsid w:val="008D2485"/>
    <w:rsid w:val="008D2911"/>
    <w:rsid w:val="008D421E"/>
    <w:rsid w:val="008E2924"/>
    <w:rsid w:val="008E4C94"/>
    <w:rsid w:val="008F3631"/>
    <w:rsid w:val="008F6EE7"/>
    <w:rsid w:val="00911973"/>
    <w:rsid w:val="009119CA"/>
    <w:rsid w:val="00915FEA"/>
    <w:rsid w:val="009179F3"/>
    <w:rsid w:val="00935209"/>
    <w:rsid w:val="0094172B"/>
    <w:rsid w:val="009465A8"/>
    <w:rsid w:val="00960076"/>
    <w:rsid w:val="00962456"/>
    <w:rsid w:val="009628F6"/>
    <w:rsid w:val="00965B00"/>
    <w:rsid w:val="0096796A"/>
    <w:rsid w:val="00970F0F"/>
    <w:rsid w:val="00972A85"/>
    <w:rsid w:val="00983A02"/>
    <w:rsid w:val="0098506C"/>
    <w:rsid w:val="00990270"/>
    <w:rsid w:val="009956A7"/>
    <w:rsid w:val="009975CC"/>
    <w:rsid w:val="009A0BA9"/>
    <w:rsid w:val="009A1A04"/>
    <w:rsid w:val="009A306D"/>
    <w:rsid w:val="009B2CB6"/>
    <w:rsid w:val="009B2F91"/>
    <w:rsid w:val="009B3BCD"/>
    <w:rsid w:val="009B44D3"/>
    <w:rsid w:val="009B5714"/>
    <w:rsid w:val="009C1BCA"/>
    <w:rsid w:val="009C4843"/>
    <w:rsid w:val="009C7BF1"/>
    <w:rsid w:val="009D0D67"/>
    <w:rsid w:val="009D2631"/>
    <w:rsid w:val="009D2E2D"/>
    <w:rsid w:val="009D34AC"/>
    <w:rsid w:val="009E4C7D"/>
    <w:rsid w:val="009F0C3D"/>
    <w:rsid w:val="009F0E81"/>
    <w:rsid w:val="009F34E6"/>
    <w:rsid w:val="009F3DF5"/>
    <w:rsid w:val="009F5E79"/>
    <w:rsid w:val="009F676F"/>
    <w:rsid w:val="00A01703"/>
    <w:rsid w:val="00A0744B"/>
    <w:rsid w:val="00A10A7D"/>
    <w:rsid w:val="00A21E2A"/>
    <w:rsid w:val="00A22888"/>
    <w:rsid w:val="00A244D8"/>
    <w:rsid w:val="00A25293"/>
    <w:rsid w:val="00A25348"/>
    <w:rsid w:val="00A30B38"/>
    <w:rsid w:val="00A33D20"/>
    <w:rsid w:val="00A34C67"/>
    <w:rsid w:val="00A40B40"/>
    <w:rsid w:val="00A410BA"/>
    <w:rsid w:val="00A42DCF"/>
    <w:rsid w:val="00A44AE7"/>
    <w:rsid w:val="00A47062"/>
    <w:rsid w:val="00A51356"/>
    <w:rsid w:val="00A54717"/>
    <w:rsid w:val="00A55F8A"/>
    <w:rsid w:val="00A564F6"/>
    <w:rsid w:val="00A716B1"/>
    <w:rsid w:val="00A74BD3"/>
    <w:rsid w:val="00A7626C"/>
    <w:rsid w:val="00A77DC0"/>
    <w:rsid w:val="00A81786"/>
    <w:rsid w:val="00A81BE4"/>
    <w:rsid w:val="00A81E51"/>
    <w:rsid w:val="00A81F7A"/>
    <w:rsid w:val="00A820A5"/>
    <w:rsid w:val="00A83195"/>
    <w:rsid w:val="00A83558"/>
    <w:rsid w:val="00A868FB"/>
    <w:rsid w:val="00A93E96"/>
    <w:rsid w:val="00A9701F"/>
    <w:rsid w:val="00AA5EEE"/>
    <w:rsid w:val="00AA782C"/>
    <w:rsid w:val="00AB4864"/>
    <w:rsid w:val="00AB601A"/>
    <w:rsid w:val="00AB61C7"/>
    <w:rsid w:val="00AB6267"/>
    <w:rsid w:val="00AB6960"/>
    <w:rsid w:val="00AB6A82"/>
    <w:rsid w:val="00AB6C3E"/>
    <w:rsid w:val="00AC3473"/>
    <w:rsid w:val="00AC637F"/>
    <w:rsid w:val="00AC6A16"/>
    <w:rsid w:val="00AD16F4"/>
    <w:rsid w:val="00AE48D8"/>
    <w:rsid w:val="00AE62BB"/>
    <w:rsid w:val="00AE6783"/>
    <w:rsid w:val="00AE7684"/>
    <w:rsid w:val="00AF0774"/>
    <w:rsid w:val="00AF5302"/>
    <w:rsid w:val="00AF7885"/>
    <w:rsid w:val="00B02CE4"/>
    <w:rsid w:val="00B05A14"/>
    <w:rsid w:val="00B07AD3"/>
    <w:rsid w:val="00B1200A"/>
    <w:rsid w:val="00B123A4"/>
    <w:rsid w:val="00B13361"/>
    <w:rsid w:val="00B14422"/>
    <w:rsid w:val="00B159E4"/>
    <w:rsid w:val="00B164D9"/>
    <w:rsid w:val="00B177DB"/>
    <w:rsid w:val="00B264B7"/>
    <w:rsid w:val="00B31095"/>
    <w:rsid w:val="00B33B03"/>
    <w:rsid w:val="00B342D0"/>
    <w:rsid w:val="00B4150A"/>
    <w:rsid w:val="00B51403"/>
    <w:rsid w:val="00B5274E"/>
    <w:rsid w:val="00B52E32"/>
    <w:rsid w:val="00B530B1"/>
    <w:rsid w:val="00B61EE5"/>
    <w:rsid w:val="00B62D04"/>
    <w:rsid w:val="00B713DF"/>
    <w:rsid w:val="00B74E04"/>
    <w:rsid w:val="00B805E5"/>
    <w:rsid w:val="00B81274"/>
    <w:rsid w:val="00B81F4A"/>
    <w:rsid w:val="00B82EA8"/>
    <w:rsid w:val="00B8560B"/>
    <w:rsid w:val="00B86031"/>
    <w:rsid w:val="00B9238E"/>
    <w:rsid w:val="00B9623E"/>
    <w:rsid w:val="00B96856"/>
    <w:rsid w:val="00BA0EA8"/>
    <w:rsid w:val="00BA2BC2"/>
    <w:rsid w:val="00BA5071"/>
    <w:rsid w:val="00BB2BA2"/>
    <w:rsid w:val="00BB4A27"/>
    <w:rsid w:val="00BC561E"/>
    <w:rsid w:val="00BC58BF"/>
    <w:rsid w:val="00BD0372"/>
    <w:rsid w:val="00BD4376"/>
    <w:rsid w:val="00BE1A78"/>
    <w:rsid w:val="00BE37A0"/>
    <w:rsid w:val="00BE6001"/>
    <w:rsid w:val="00BF0837"/>
    <w:rsid w:val="00BF0859"/>
    <w:rsid w:val="00BF09D0"/>
    <w:rsid w:val="00BF1AC4"/>
    <w:rsid w:val="00BF4008"/>
    <w:rsid w:val="00BF4F7D"/>
    <w:rsid w:val="00C00772"/>
    <w:rsid w:val="00C01CF0"/>
    <w:rsid w:val="00C0254F"/>
    <w:rsid w:val="00C06E0E"/>
    <w:rsid w:val="00C13158"/>
    <w:rsid w:val="00C14E82"/>
    <w:rsid w:val="00C20D8F"/>
    <w:rsid w:val="00C21801"/>
    <w:rsid w:val="00C25132"/>
    <w:rsid w:val="00C2752A"/>
    <w:rsid w:val="00C30C63"/>
    <w:rsid w:val="00C33B57"/>
    <w:rsid w:val="00C34DBE"/>
    <w:rsid w:val="00C366AA"/>
    <w:rsid w:val="00C37CE3"/>
    <w:rsid w:val="00C53962"/>
    <w:rsid w:val="00C54D7F"/>
    <w:rsid w:val="00C559C9"/>
    <w:rsid w:val="00C601A4"/>
    <w:rsid w:val="00C60561"/>
    <w:rsid w:val="00C661E5"/>
    <w:rsid w:val="00C72839"/>
    <w:rsid w:val="00C74AA0"/>
    <w:rsid w:val="00C75ADB"/>
    <w:rsid w:val="00C81994"/>
    <w:rsid w:val="00C86AE7"/>
    <w:rsid w:val="00C90403"/>
    <w:rsid w:val="00CA1029"/>
    <w:rsid w:val="00CB2917"/>
    <w:rsid w:val="00CB59FC"/>
    <w:rsid w:val="00CC427F"/>
    <w:rsid w:val="00CD01E8"/>
    <w:rsid w:val="00CD32F9"/>
    <w:rsid w:val="00CD386C"/>
    <w:rsid w:val="00CE0D39"/>
    <w:rsid w:val="00CE0E2D"/>
    <w:rsid w:val="00CE10E1"/>
    <w:rsid w:val="00CE3EF7"/>
    <w:rsid w:val="00CE6373"/>
    <w:rsid w:val="00CE7E19"/>
    <w:rsid w:val="00CF1CCD"/>
    <w:rsid w:val="00CF2F1A"/>
    <w:rsid w:val="00CF37FE"/>
    <w:rsid w:val="00CF4F01"/>
    <w:rsid w:val="00D07313"/>
    <w:rsid w:val="00D07B9B"/>
    <w:rsid w:val="00D10EC8"/>
    <w:rsid w:val="00D119DF"/>
    <w:rsid w:val="00D16DD3"/>
    <w:rsid w:val="00D17174"/>
    <w:rsid w:val="00D20B11"/>
    <w:rsid w:val="00D210F6"/>
    <w:rsid w:val="00D21AF3"/>
    <w:rsid w:val="00D21DB7"/>
    <w:rsid w:val="00D222D8"/>
    <w:rsid w:val="00D30598"/>
    <w:rsid w:val="00D33EA8"/>
    <w:rsid w:val="00D37C49"/>
    <w:rsid w:val="00D40A5F"/>
    <w:rsid w:val="00D44E8E"/>
    <w:rsid w:val="00D459E7"/>
    <w:rsid w:val="00D45C7E"/>
    <w:rsid w:val="00D52F25"/>
    <w:rsid w:val="00D53496"/>
    <w:rsid w:val="00D75DB6"/>
    <w:rsid w:val="00D75DFF"/>
    <w:rsid w:val="00D8505C"/>
    <w:rsid w:val="00D85A3F"/>
    <w:rsid w:val="00D866C4"/>
    <w:rsid w:val="00D87A0B"/>
    <w:rsid w:val="00D94A48"/>
    <w:rsid w:val="00DA1E8F"/>
    <w:rsid w:val="00DA48D6"/>
    <w:rsid w:val="00DA56BA"/>
    <w:rsid w:val="00DB0707"/>
    <w:rsid w:val="00DB3963"/>
    <w:rsid w:val="00DC2408"/>
    <w:rsid w:val="00DC379B"/>
    <w:rsid w:val="00DC43B6"/>
    <w:rsid w:val="00DC5F21"/>
    <w:rsid w:val="00DC6E2B"/>
    <w:rsid w:val="00DC7AA8"/>
    <w:rsid w:val="00DD099D"/>
    <w:rsid w:val="00DD0E1C"/>
    <w:rsid w:val="00DD69D7"/>
    <w:rsid w:val="00DD7649"/>
    <w:rsid w:val="00DE0236"/>
    <w:rsid w:val="00DE0640"/>
    <w:rsid w:val="00DE366F"/>
    <w:rsid w:val="00DF469C"/>
    <w:rsid w:val="00DF5BAC"/>
    <w:rsid w:val="00E02EA1"/>
    <w:rsid w:val="00E03BCD"/>
    <w:rsid w:val="00E05B8B"/>
    <w:rsid w:val="00E11CD7"/>
    <w:rsid w:val="00E11D4E"/>
    <w:rsid w:val="00E204A6"/>
    <w:rsid w:val="00E30DC4"/>
    <w:rsid w:val="00E32D0B"/>
    <w:rsid w:val="00E34FCE"/>
    <w:rsid w:val="00E4413F"/>
    <w:rsid w:val="00E44793"/>
    <w:rsid w:val="00E44E4F"/>
    <w:rsid w:val="00E62B1E"/>
    <w:rsid w:val="00E62E5F"/>
    <w:rsid w:val="00E66F2F"/>
    <w:rsid w:val="00E674E7"/>
    <w:rsid w:val="00E70AD9"/>
    <w:rsid w:val="00E75871"/>
    <w:rsid w:val="00E8096E"/>
    <w:rsid w:val="00E83534"/>
    <w:rsid w:val="00E87E0C"/>
    <w:rsid w:val="00E94ACB"/>
    <w:rsid w:val="00E95045"/>
    <w:rsid w:val="00EA2A54"/>
    <w:rsid w:val="00EB04D1"/>
    <w:rsid w:val="00EB55A2"/>
    <w:rsid w:val="00EC4B9E"/>
    <w:rsid w:val="00ED2033"/>
    <w:rsid w:val="00ED41FB"/>
    <w:rsid w:val="00ED5DAD"/>
    <w:rsid w:val="00EE015C"/>
    <w:rsid w:val="00EE3C8B"/>
    <w:rsid w:val="00EE5DAE"/>
    <w:rsid w:val="00EF1811"/>
    <w:rsid w:val="00EF25E1"/>
    <w:rsid w:val="00EF3701"/>
    <w:rsid w:val="00EF52F8"/>
    <w:rsid w:val="00F02FC5"/>
    <w:rsid w:val="00F03461"/>
    <w:rsid w:val="00F04F7B"/>
    <w:rsid w:val="00F05410"/>
    <w:rsid w:val="00F05714"/>
    <w:rsid w:val="00F06C15"/>
    <w:rsid w:val="00F077E0"/>
    <w:rsid w:val="00F11FC0"/>
    <w:rsid w:val="00F14D5C"/>
    <w:rsid w:val="00F23A3A"/>
    <w:rsid w:val="00F255EC"/>
    <w:rsid w:val="00F354C9"/>
    <w:rsid w:val="00F36CD7"/>
    <w:rsid w:val="00F447F0"/>
    <w:rsid w:val="00F4661B"/>
    <w:rsid w:val="00F50DE6"/>
    <w:rsid w:val="00F52B43"/>
    <w:rsid w:val="00F52CDE"/>
    <w:rsid w:val="00F550E7"/>
    <w:rsid w:val="00F566F1"/>
    <w:rsid w:val="00F708CE"/>
    <w:rsid w:val="00F728CC"/>
    <w:rsid w:val="00F75D70"/>
    <w:rsid w:val="00F76739"/>
    <w:rsid w:val="00F82A84"/>
    <w:rsid w:val="00F84446"/>
    <w:rsid w:val="00F92D7F"/>
    <w:rsid w:val="00F96B8F"/>
    <w:rsid w:val="00FA1416"/>
    <w:rsid w:val="00FA165A"/>
    <w:rsid w:val="00FA16DF"/>
    <w:rsid w:val="00FA46FD"/>
    <w:rsid w:val="00FA46FF"/>
    <w:rsid w:val="00FA4BDC"/>
    <w:rsid w:val="00FB102E"/>
    <w:rsid w:val="00FB2C28"/>
    <w:rsid w:val="00FB6247"/>
    <w:rsid w:val="00FB657D"/>
    <w:rsid w:val="00FB7881"/>
    <w:rsid w:val="00FD4EE8"/>
    <w:rsid w:val="00FD5A16"/>
    <w:rsid w:val="00FE6C31"/>
    <w:rsid w:val="00FF06F6"/>
    <w:rsid w:val="00FF28A2"/>
    <w:rsid w:val="00FF5A8E"/>
    <w:rsid w:val="014E7F59"/>
    <w:rsid w:val="0161CC12"/>
    <w:rsid w:val="0173E301"/>
    <w:rsid w:val="02328A98"/>
    <w:rsid w:val="023B264E"/>
    <w:rsid w:val="023E0C02"/>
    <w:rsid w:val="025A54FA"/>
    <w:rsid w:val="0280CBCE"/>
    <w:rsid w:val="02C6A288"/>
    <w:rsid w:val="02D78A6F"/>
    <w:rsid w:val="03013662"/>
    <w:rsid w:val="030AB169"/>
    <w:rsid w:val="037FEAF5"/>
    <w:rsid w:val="03AB81B2"/>
    <w:rsid w:val="03B717EF"/>
    <w:rsid w:val="03D44632"/>
    <w:rsid w:val="03DB3C74"/>
    <w:rsid w:val="03E82FC3"/>
    <w:rsid w:val="040782E5"/>
    <w:rsid w:val="0430E0C7"/>
    <w:rsid w:val="0432EFCD"/>
    <w:rsid w:val="044BDB66"/>
    <w:rsid w:val="048B5823"/>
    <w:rsid w:val="048C6ABA"/>
    <w:rsid w:val="04F378A1"/>
    <w:rsid w:val="0565BF9B"/>
    <w:rsid w:val="05BA65C3"/>
    <w:rsid w:val="05D29E60"/>
    <w:rsid w:val="05E59275"/>
    <w:rsid w:val="05F74D07"/>
    <w:rsid w:val="0604701E"/>
    <w:rsid w:val="062E9840"/>
    <w:rsid w:val="06741DDD"/>
    <w:rsid w:val="06BB5922"/>
    <w:rsid w:val="06CA9D3A"/>
    <w:rsid w:val="06EAF75A"/>
    <w:rsid w:val="0759FF7E"/>
    <w:rsid w:val="07837FDB"/>
    <w:rsid w:val="07CAA754"/>
    <w:rsid w:val="07DDF6C3"/>
    <w:rsid w:val="07F238CC"/>
    <w:rsid w:val="08026207"/>
    <w:rsid w:val="08175649"/>
    <w:rsid w:val="084F1B8D"/>
    <w:rsid w:val="089BC812"/>
    <w:rsid w:val="095EA361"/>
    <w:rsid w:val="095F4458"/>
    <w:rsid w:val="0975354F"/>
    <w:rsid w:val="09B5B2BA"/>
    <w:rsid w:val="09D01811"/>
    <w:rsid w:val="0A114CF5"/>
    <w:rsid w:val="0A1D1C11"/>
    <w:rsid w:val="0A612949"/>
    <w:rsid w:val="0A6D9C9C"/>
    <w:rsid w:val="0ABFEEB3"/>
    <w:rsid w:val="0AC98B0F"/>
    <w:rsid w:val="0B14CF06"/>
    <w:rsid w:val="0B17DDE6"/>
    <w:rsid w:val="0B22CDD0"/>
    <w:rsid w:val="0B380538"/>
    <w:rsid w:val="0B5D3626"/>
    <w:rsid w:val="0B9CAF63"/>
    <w:rsid w:val="0BB69397"/>
    <w:rsid w:val="0BD1E43A"/>
    <w:rsid w:val="0BFA2FD3"/>
    <w:rsid w:val="0C03F6C2"/>
    <w:rsid w:val="0C4C28D9"/>
    <w:rsid w:val="0C7FFA8B"/>
    <w:rsid w:val="0C89FC90"/>
    <w:rsid w:val="0C8E6447"/>
    <w:rsid w:val="0C9BC581"/>
    <w:rsid w:val="0CFE8F07"/>
    <w:rsid w:val="0D07DA8C"/>
    <w:rsid w:val="0D67D0BD"/>
    <w:rsid w:val="0D6EFDA0"/>
    <w:rsid w:val="0D905F7F"/>
    <w:rsid w:val="0E1C2D9A"/>
    <w:rsid w:val="0E20E2A4"/>
    <w:rsid w:val="0E4CD39A"/>
    <w:rsid w:val="0E4F5483"/>
    <w:rsid w:val="0E5A24EC"/>
    <w:rsid w:val="0EDD5CC7"/>
    <w:rsid w:val="0F025E76"/>
    <w:rsid w:val="0F78577E"/>
    <w:rsid w:val="0FC7FFB5"/>
    <w:rsid w:val="103CDAAF"/>
    <w:rsid w:val="10973675"/>
    <w:rsid w:val="10D7A5BE"/>
    <w:rsid w:val="10EBAF5E"/>
    <w:rsid w:val="10FD2840"/>
    <w:rsid w:val="112F4E13"/>
    <w:rsid w:val="11435AA6"/>
    <w:rsid w:val="1182300A"/>
    <w:rsid w:val="11B31759"/>
    <w:rsid w:val="11CA5376"/>
    <w:rsid w:val="11E22B06"/>
    <w:rsid w:val="1207F5BF"/>
    <w:rsid w:val="12248DD9"/>
    <w:rsid w:val="1225D51B"/>
    <w:rsid w:val="12624531"/>
    <w:rsid w:val="12AC8972"/>
    <w:rsid w:val="12CF0FAB"/>
    <w:rsid w:val="12D6E5D4"/>
    <w:rsid w:val="12E2DA69"/>
    <w:rsid w:val="130091FD"/>
    <w:rsid w:val="1324DD90"/>
    <w:rsid w:val="133E6D71"/>
    <w:rsid w:val="1363D0EF"/>
    <w:rsid w:val="13B42D07"/>
    <w:rsid w:val="13CED737"/>
    <w:rsid w:val="13D05368"/>
    <w:rsid w:val="13E702D7"/>
    <w:rsid w:val="13EC3CDD"/>
    <w:rsid w:val="14069A0C"/>
    <w:rsid w:val="140B610D"/>
    <w:rsid w:val="14399F35"/>
    <w:rsid w:val="1439EA5B"/>
    <w:rsid w:val="1455464D"/>
    <w:rsid w:val="14A97002"/>
    <w:rsid w:val="14C42B1E"/>
    <w:rsid w:val="14E6849B"/>
    <w:rsid w:val="14ECFAEC"/>
    <w:rsid w:val="155C215E"/>
    <w:rsid w:val="155E6885"/>
    <w:rsid w:val="1588E436"/>
    <w:rsid w:val="158A5249"/>
    <w:rsid w:val="159FA98A"/>
    <w:rsid w:val="15AAC00B"/>
    <w:rsid w:val="15DEEDE2"/>
    <w:rsid w:val="15F116AE"/>
    <w:rsid w:val="15FAE2AA"/>
    <w:rsid w:val="16492A2F"/>
    <w:rsid w:val="16A7FD89"/>
    <w:rsid w:val="16D0FEB1"/>
    <w:rsid w:val="16F427D0"/>
    <w:rsid w:val="1715B3E5"/>
    <w:rsid w:val="180387D7"/>
    <w:rsid w:val="18F14AD0"/>
    <w:rsid w:val="18FFE3AA"/>
    <w:rsid w:val="196D7168"/>
    <w:rsid w:val="1987D517"/>
    <w:rsid w:val="19CBB268"/>
    <w:rsid w:val="1A5AAF42"/>
    <w:rsid w:val="1A7D0C53"/>
    <w:rsid w:val="1A834BB0"/>
    <w:rsid w:val="1A915624"/>
    <w:rsid w:val="1AE9A129"/>
    <w:rsid w:val="1AF34F65"/>
    <w:rsid w:val="1B50791C"/>
    <w:rsid w:val="1B85C779"/>
    <w:rsid w:val="1BB1015F"/>
    <w:rsid w:val="1BB45697"/>
    <w:rsid w:val="1BBDB48F"/>
    <w:rsid w:val="1BDE75A9"/>
    <w:rsid w:val="1BE08B26"/>
    <w:rsid w:val="1C2D2685"/>
    <w:rsid w:val="1C523681"/>
    <w:rsid w:val="1C7A37D2"/>
    <w:rsid w:val="1C83322E"/>
    <w:rsid w:val="1C8380F1"/>
    <w:rsid w:val="1CC92579"/>
    <w:rsid w:val="1CD149AA"/>
    <w:rsid w:val="1CDC5A2B"/>
    <w:rsid w:val="1D0C9FD9"/>
    <w:rsid w:val="1D2F0A7F"/>
    <w:rsid w:val="1D49F14F"/>
    <w:rsid w:val="1D515246"/>
    <w:rsid w:val="1D550D1E"/>
    <w:rsid w:val="1D935182"/>
    <w:rsid w:val="1D9423C3"/>
    <w:rsid w:val="1DAD5C26"/>
    <w:rsid w:val="1DC0A4B9"/>
    <w:rsid w:val="1E09131B"/>
    <w:rsid w:val="1E1F8B94"/>
    <w:rsid w:val="1E274CD4"/>
    <w:rsid w:val="1E395217"/>
    <w:rsid w:val="1E5F3F12"/>
    <w:rsid w:val="1E99CCE2"/>
    <w:rsid w:val="1ED2D173"/>
    <w:rsid w:val="1ED9C7FE"/>
    <w:rsid w:val="1EF40175"/>
    <w:rsid w:val="1F0D0037"/>
    <w:rsid w:val="1F171A74"/>
    <w:rsid w:val="1F470554"/>
    <w:rsid w:val="1F818611"/>
    <w:rsid w:val="1FAE0A69"/>
    <w:rsid w:val="1FF955DA"/>
    <w:rsid w:val="20665B45"/>
    <w:rsid w:val="207EB2C5"/>
    <w:rsid w:val="20C98C40"/>
    <w:rsid w:val="20CBB537"/>
    <w:rsid w:val="20EA17A7"/>
    <w:rsid w:val="20FAA4F2"/>
    <w:rsid w:val="215D7F90"/>
    <w:rsid w:val="2169EB84"/>
    <w:rsid w:val="2186EEE0"/>
    <w:rsid w:val="21ACD836"/>
    <w:rsid w:val="21C3C491"/>
    <w:rsid w:val="220AC0F0"/>
    <w:rsid w:val="2228B29D"/>
    <w:rsid w:val="22344686"/>
    <w:rsid w:val="22685DD6"/>
    <w:rsid w:val="22808BBA"/>
    <w:rsid w:val="229AE6BD"/>
    <w:rsid w:val="23052776"/>
    <w:rsid w:val="23302793"/>
    <w:rsid w:val="23767310"/>
    <w:rsid w:val="238C7033"/>
    <w:rsid w:val="24019326"/>
    <w:rsid w:val="2412026B"/>
    <w:rsid w:val="241B5357"/>
    <w:rsid w:val="24545FBC"/>
    <w:rsid w:val="24660679"/>
    <w:rsid w:val="24BE41BE"/>
    <w:rsid w:val="24CE8096"/>
    <w:rsid w:val="24D08258"/>
    <w:rsid w:val="24D3D402"/>
    <w:rsid w:val="24DAE4B6"/>
    <w:rsid w:val="25115283"/>
    <w:rsid w:val="25249775"/>
    <w:rsid w:val="255DA416"/>
    <w:rsid w:val="2584E33B"/>
    <w:rsid w:val="25AC98B3"/>
    <w:rsid w:val="25B12527"/>
    <w:rsid w:val="25D32495"/>
    <w:rsid w:val="25E4B878"/>
    <w:rsid w:val="25FC4668"/>
    <w:rsid w:val="261ADE30"/>
    <w:rsid w:val="26207899"/>
    <w:rsid w:val="264E343D"/>
    <w:rsid w:val="265F08FF"/>
    <w:rsid w:val="266A50F7"/>
    <w:rsid w:val="26AFF5EF"/>
    <w:rsid w:val="26CAE622"/>
    <w:rsid w:val="26E35F7E"/>
    <w:rsid w:val="26F544AE"/>
    <w:rsid w:val="277713A0"/>
    <w:rsid w:val="27C05E70"/>
    <w:rsid w:val="27C32E58"/>
    <w:rsid w:val="27D04143"/>
    <w:rsid w:val="27EA049E"/>
    <w:rsid w:val="28203054"/>
    <w:rsid w:val="282E2A4F"/>
    <w:rsid w:val="285961F4"/>
    <w:rsid w:val="2867F3F0"/>
    <w:rsid w:val="2892E233"/>
    <w:rsid w:val="28957E98"/>
    <w:rsid w:val="28A1D478"/>
    <w:rsid w:val="28B81F0F"/>
    <w:rsid w:val="28DDE9CF"/>
    <w:rsid w:val="28E1C949"/>
    <w:rsid w:val="28E5615E"/>
    <w:rsid w:val="28FBA73A"/>
    <w:rsid w:val="2914E155"/>
    <w:rsid w:val="29265DF6"/>
    <w:rsid w:val="294535CC"/>
    <w:rsid w:val="2961358F"/>
    <w:rsid w:val="2A13D759"/>
    <w:rsid w:val="2A289596"/>
    <w:rsid w:val="2A4031EC"/>
    <w:rsid w:val="2A54300D"/>
    <w:rsid w:val="2A6D63AE"/>
    <w:rsid w:val="2A837756"/>
    <w:rsid w:val="2A9931D6"/>
    <w:rsid w:val="2AEE0F46"/>
    <w:rsid w:val="2B173E3C"/>
    <w:rsid w:val="2B273DC8"/>
    <w:rsid w:val="2B360EA3"/>
    <w:rsid w:val="2B5044D7"/>
    <w:rsid w:val="2B55488B"/>
    <w:rsid w:val="2B56E61F"/>
    <w:rsid w:val="2B6BE2F5"/>
    <w:rsid w:val="2B9BC882"/>
    <w:rsid w:val="2BC5B1B8"/>
    <w:rsid w:val="2BC97AD1"/>
    <w:rsid w:val="2BDA32B5"/>
    <w:rsid w:val="2C044DD1"/>
    <w:rsid w:val="2C23591B"/>
    <w:rsid w:val="2C375EAC"/>
    <w:rsid w:val="2C5F3219"/>
    <w:rsid w:val="2C61F41C"/>
    <w:rsid w:val="2C620B75"/>
    <w:rsid w:val="2C6A277D"/>
    <w:rsid w:val="2C6A46B6"/>
    <w:rsid w:val="2C889C23"/>
    <w:rsid w:val="2CF0AEF5"/>
    <w:rsid w:val="2D0C894C"/>
    <w:rsid w:val="2D2A5E2B"/>
    <w:rsid w:val="2D461D0A"/>
    <w:rsid w:val="2DE67352"/>
    <w:rsid w:val="2DFDC47D"/>
    <w:rsid w:val="2E3D26CE"/>
    <w:rsid w:val="2E61D883"/>
    <w:rsid w:val="2E9B4A62"/>
    <w:rsid w:val="2ED753E8"/>
    <w:rsid w:val="2EDBFB99"/>
    <w:rsid w:val="2EFE92A9"/>
    <w:rsid w:val="2F0333F2"/>
    <w:rsid w:val="2F1A2A57"/>
    <w:rsid w:val="2F40E13F"/>
    <w:rsid w:val="2F4359A6"/>
    <w:rsid w:val="2F4658DD"/>
    <w:rsid w:val="2FE11AA2"/>
    <w:rsid w:val="2FEF54F7"/>
    <w:rsid w:val="300F47C1"/>
    <w:rsid w:val="305F3DD4"/>
    <w:rsid w:val="30E6F6BA"/>
    <w:rsid w:val="3138F260"/>
    <w:rsid w:val="314A44B9"/>
    <w:rsid w:val="3152E368"/>
    <w:rsid w:val="31852F46"/>
    <w:rsid w:val="3190E6E4"/>
    <w:rsid w:val="3202DE30"/>
    <w:rsid w:val="32192D0F"/>
    <w:rsid w:val="321B3557"/>
    <w:rsid w:val="3304CADE"/>
    <w:rsid w:val="33067942"/>
    <w:rsid w:val="33286F18"/>
    <w:rsid w:val="332A41C0"/>
    <w:rsid w:val="332CB745"/>
    <w:rsid w:val="33C4A127"/>
    <w:rsid w:val="340AA56A"/>
    <w:rsid w:val="3446FB97"/>
    <w:rsid w:val="346AB657"/>
    <w:rsid w:val="34944D2F"/>
    <w:rsid w:val="34C17F2B"/>
    <w:rsid w:val="34C4D44F"/>
    <w:rsid w:val="34C887A6"/>
    <w:rsid w:val="34CDE9AC"/>
    <w:rsid w:val="34DA48B9"/>
    <w:rsid w:val="352CE5B6"/>
    <w:rsid w:val="357D8ECA"/>
    <w:rsid w:val="35A26668"/>
    <w:rsid w:val="35A36EC5"/>
    <w:rsid w:val="35ABCA30"/>
    <w:rsid w:val="35F0AD8E"/>
    <w:rsid w:val="361986D2"/>
    <w:rsid w:val="36208363"/>
    <w:rsid w:val="3642790A"/>
    <w:rsid w:val="3649CACA"/>
    <w:rsid w:val="365CD8B8"/>
    <w:rsid w:val="3667E875"/>
    <w:rsid w:val="366AD7E2"/>
    <w:rsid w:val="366F2F47"/>
    <w:rsid w:val="36754BDE"/>
    <w:rsid w:val="36CD241E"/>
    <w:rsid w:val="36F170F4"/>
    <w:rsid w:val="3712E51D"/>
    <w:rsid w:val="379AF3D0"/>
    <w:rsid w:val="379BA54D"/>
    <w:rsid w:val="380815EE"/>
    <w:rsid w:val="386DD8F2"/>
    <w:rsid w:val="38A103A7"/>
    <w:rsid w:val="38A919D1"/>
    <w:rsid w:val="38B233C3"/>
    <w:rsid w:val="38C34964"/>
    <w:rsid w:val="39204955"/>
    <w:rsid w:val="39F8BC34"/>
    <w:rsid w:val="3A14D7FB"/>
    <w:rsid w:val="3A32E043"/>
    <w:rsid w:val="3A4280FE"/>
    <w:rsid w:val="3A53F5CA"/>
    <w:rsid w:val="3A877BF2"/>
    <w:rsid w:val="3AABAE4C"/>
    <w:rsid w:val="3B0732DD"/>
    <w:rsid w:val="3B1680A1"/>
    <w:rsid w:val="3B3DBFD5"/>
    <w:rsid w:val="3B4487D6"/>
    <w:rsid w:val="3B846E4A"/>
    <w:rsid w:val="3BAE2CEA"/>
    <w:rsid w:val="3BB30FEC"/>
    <w:rsid w:val="3BF32154"/>
    <w:rsid w:val="3C142B25"/>
    <w:rsid w:val="3C66D812"/>
    <w:rsid w:val="3C9C6677"/>
    <w:rsid w:val="3CE73CBB"/>
    <w:rsid w:val="3D0FF2B5"/>
    <w:rsid w:val="3D292793"/>
    <w:rsid w:val="3D62D060"/>
    <w:rsid w:val="3D76DD91"/>
    <w:rsid w:val="3D798A48"/>
    <w:rsid w:val="3E1CA8C4"/>
    <w:rsid w:val="3E696F88"/>
    <w:rsid w:val="3E775772"/>
    <w:rsid w:val="3E8A95B5"/>
    <w:rsid w:val="3ECB706F"/>
    <w:rsid w:val="3ED2B283"/>
    <w:rsid w:val="3EF5B949"/>
    <w:rsid w:val="3F01C200"/>
    <w:rsid w:val="3F1B9840"/>
    <w:rsid w:val="3F7A6543"/>
    <w:rsid w:val="3FF9F5A1"/>
    <w:rsid w:val="402F8510"/>
    <w:rsid w:val="40671985"/>
    <w:rsid w:val="40733A05"/>
    <w:rsid w:val="407D1E4C"/>
    <w:rsid w:val="408A934A"/>
    <w:rsid w:val="40B9DDD1"/>
    <w:rsid w:val="40F04A42"/>
    <w:rsid w:val="41233875"/>
    <w:rsid w:val="4170A6F9"/>
    <w:rsid w:val="417FDF33"/>
    <w:rsid w:val="41AEF834"/>
    <w:rsid w:val="41FD26A4"/>
    <w:rsid w:val="42074AE3"/>
    <w:rsid w:val="432B95B6"/>
    <w:rsid w:val="434AC895"/>
    <w:rsid w:val="438112A3"/>
    <w:rsid w:val="439A4997"/>
    <w:rsid w:val="43C4167A"/>
    <w:rsid w:val="43C884B7"/>
    <w:rsid w:val="43CAF309"/>
    <w:rsid w:val="43D695BA"/>
    <w:rsid w:val="44182BCD"/>
    <w:rsid w:val="441CA271"/>
    <w:rsid w:val="4452A074"/>
    <w:rsid w:val="44793161"/>
    <w:rsid w:val="448A77A6"/>
    <w:rsid w:val="44978DF8"/>
    <w:rsid w:val="44C17775"/>
    <w:rsid w:val="44C47AFE"/>
    <w:rsid w:val="44C6A315"/>
    <w:rsid w:val="44DA536E"/>
    <w:rsid w:val="44DB501C"/>
    <w:rsid w:val="44F64798"/>
    <w:rsid w:val="45360E52"/>
    <w:rsid w:val="45506C4E"/>
    <w:rsid w:val="456DBA96"/>
    <w:rsid w:val="4572E638"/>
    <w:rsid w:val="457493C9"/>
    <w:rsid w:val="457A26A9"/>
    <w:rsid w:val="45A75D6D"/>
    <w:rsid w:val="45BEF3BF"/>
    <w:rsid w:val="45C57830"/>
    <w:rsid w:val="46082458"/>
    <w:rsid w:val="4661D9E9"/>
    <w:rsid w:val="46720A1D"/>
    <w:rsid w:val="470F705B"/>
    <w:rsid w:val="473D6AEF"/>
    <w:rsid w:val="4743756A"/>
    <w:rsid w:val="4759CF17"/>
    <w:rsid w:val="477AB584"/>
    <w:rsid w:val="478BE23A"/>
    <w:rsid w:val="47DF02AE"/>
    <w:rsid w:val="47E5B779"/>
    <w:rsid w:val="488B60BB"/>
    <w:rsid w:val="488F5D78"/>
    <w:rsid w:val="48C10788"/>
    <w:rsid w:val="48CC1700"/>
    <w:rsid w:val="4902C96D"/>
    <w:rsid w:val="492E765C"/>
    <w:rsid w:val="4954D581"/>
    <w:rsid w:val="49716C42"/>
    <w:rsid w:val="497E1F89"/>
    <w:rsid w:val="4984BE3F"/>
    <w:rsid w:val="49999930"/>
    <w:rsid w:val="49D41C66"/>
    <w:rsid w:val="49E5896C"/>
    <w:rsid w:val="49FA5A7D"/>
    <w:rsid w:val="4A24AD4E"/>
    <w:rsid w:val="4A36F34D"/>
    <w:rsid w:val="4A47BAF5"/>
    <w:rsid w:val="4A4F7282"/>
    <w:rsid w:val="4A825DAA"/>
    <w:rsid w:val="4A8CAA11"/>
    <w:rsid w:val="4A9AC753"/>
    <w:rsid w:val="4AD5D6D7"/>
    <w:rsid w:val="4AD77BE5"/>
    <w:rsid w:val="4B3CC885"/>
    <w:rsid w:val="4B49E3D8"/>
    <w:rsid w:val="4B4EA46D"/>
    <w:rsid w:val="4B523480"/>
    <w:rsid w:val="4B87CB71"/>
    <w:rsid w:val="4BA10226"/>
    <w:rsid w:val="4BACC30B"/>
    <w:rsid w:val="4BC37033"/>
    <w:rsid w:val="4BCD05E5"/>
    <w:rsid w:val="4C0BA1B2"/>
    <w:rsid w:val="4C0F9530"/>
    <w:rsid w:val="4C323149"/>
    <w:rsid w:val="4C8E7FF9"/>
    <w:rsid w:val="4C92217F"/>
    <w:rsid w:val="4C967D58"/>
    <w:rsid w:val="4CA39043"/>
    <w:rsid w:val="4CC8A8ED"/>
    <w:rsid w:val="4CE6BEF4"/>
    <w:rsid w:val="4D16C684"/>
    <w:rsid w:val="4D2D7E80"/>
    <w:rsid w:val="4D487DF6"/>
    <w:rsid w:val="4D531CE9"/>
    <w:rsid w:val="4D68D646"/>
    <w:rsid w:val="4DC7CFA2"/>
    <w:rsid w:val="4DFA276D"/>
    <w:rsid w:val="4E62AC28"/>
    <w:rsid w:val="4EC4B12B"/>
    <w:rsid w:val="4EF9FD78"/>
    <w:rsid w:val="4F2599C7"/>
    <w:rsid w:val="4F282AB3"/>
    <w:rsid w:val="4F7BFD72"/>
    <w:rsid w:val="4F7C1D0D"/>
    <w:rsid w:val="4F850965"/>
    <w:rsid w:val="4F8C4D50"/>
    <w:rsid w:val="4F8ED1EE"/>
    <w:rsid w:val="4F936F9B"/>
    <w:rsid w:val="4FD7B085"/>
    <w:rsid w:val="50A5E213"/>
    <w:rsid w:val="51076800"/>
    <w:rsid w:val="512002ED"/>
    <w:rsid w:val="51304783"/>
    <w:rsid w:val="5188F9C5"/>
    <w:rsid w:val="51AB4A48"/>
    <w:rsid w:val="51B24E7B"/>
    <w:rsid w:val="51BFA863"/>
    <w:rsid w:val="51F70354"/>
    <w:rsid w:val="51FEF90C"/>
    <w:rsid w:val="5209CD3F"/>
    <w:rsid w:val="524ED275"/>
    <w:rsid w:val="52584E5F"/>
    <w:rsid w:val="5266872B"/>
    <w:rsid w:val="5266AEA4"/>
    <w:rsid w:val="5275A7A7"/>
    <w:rsid w:val="52B6509E"/>
    <w:rsid w:val="52C488C1"/>
    <w:rsid w:val="52C6459D"/>
    <w:rsid w:val="52C877AC"/>
    <w:rsid w:val="530EACBE"/>
    <w:rsid w:val="5365A130"/>
    <w:rsid w:val="538CE232"/>
    <w:rsid w:val="53A04F73"/>
    <w:rsid w:val="53D56705"/>
    <w:rsid w:val="53E43335"/>
    <w:rsid w:val="53F17CC3"/>
    <w:rsid w:val="5411741F"/>
    <w:rsid w:val="54223057"/>
    <w:rsid w:val="54225E98"/>
    <w:rsid w:val="545ABD3F"/>
    <w:rsid w:val="5463E454"/>
    <w:rsid w:val="55807B01"/>
    <w:rsid w:val="55C9DE70"/>
    <w:rsid w:val="55ECAD66"/>
    <w:rsid w:val="55EFC3C8"/>
    <w:rsid w:val="56129127"/>
    <w:rsid w:val="5651D510"/>
    <w:rsid w:val="56603C59"/>
    <w:rsid w:val="566A1E2F"/>
    <w:rsid w:val="567B421D"/>
    <w:rsid w:val="568B8F44"/>
    <w:rsid w:val="5720E2C0"/>
    <w:rsid w:val="576CBA3F"/>
    <w:rsid w:val="57F89857"/>
    <w:rsid w:val="5873521C"/>
    <w:rsid w:val="5884D837"/>
    <w:rsid w:val="58BA4515"/>
    <w:rsid w:val="59153088"/>
    <w:rsid w:val="59427E37"/>
    <w:rsid w:val="59765945"/>
    <w:rsid w:val="597B4723"/>
    <w:rsid w:val="59844797"/>
    <w:rsid w:val="59CFEA67"/>
    <w:rsid w:val="59F03E4D"/>
    <w:rsid w:val="59F8CE21"/>
    <w:rsid w:val="5A0F316C"/>
    <w:rsid w:val="5A0FD63B"/>
    <w:rsid w:val="5A15D09B"/>
    <w:rsid w:val="5A3844C6"/>
    <w:rsid w:val="5A64C533"/>
    <w:rsid w:val="5A91A01C"/>
    <w:rsid w:val="5AB7E262"/>
    <w:rsid w:val="5AB8CA8D"/>
    <w:rsid w:val="5AECA534"/>
    <w:rsid w:val="5B1ABF41"/>
    <w:rsid w:val="5B2CB0FF"/>
    <w:rsid w:val="5B30ACBA"/>
    <w:rsid w:val="5B518903"/>
    <w:rsid w:val="5B767C10"/>
    <w:rsid w:val="5BBCEBD4"/>
    <w:rsid w:val="5C07C84E"/>
    <w:rsid w:val="5C77F219"/>
    <w:rsid w:val="5CB03886"/>
    <w:rsid w:val="5CE1D36F"/>
    <w:rsid w:val="5D057F23"/>
    <w:rsid w:val="5D29E5E3"/>
    <w:rsid w:val="5D86E796"/>
    <w:rsid w:val="5D90805C"/>
    <w:rsid w:val="5DADDEAC"/>
    <w:rsid w:val="5DC671E2"/>
    <w:rsid w:val="5DC8DFE2"/>
    <w:rsid w:val="5DE2693B"/>
    <w:rsid w:val="5E0B67A4"/>
    <w:rsid w:val="5E4A0F82"/>
    <w:rsid w:val="5E570EF1"/>
    <w:rsid w:val="5E9ABE8D"/>
    <w:rsid w:val="5EEBAF75"/>
    <w:rsid w:val="5F22B7F7"/>
    <w:rsid w:val="5F274E56"/>
    <w:rsid w:val="5F57D5D3"/>
    <w:rsid w:val="5F63FD63"/>
    <w:rsid w:val="5F8FFF23"/>
    <w:rsid w:val="5FA9EC2C"/>
    <w:rsid w:val="5FDA516B"/>
    <w:rsid w:val="5FEA784A"/>
    <w:rsid w:val="6072D8AF"/>
    <w:rsid w:val="6085BA32"/>
    <w:rsid w:val="60B7D525"/>
    <w:rsid w:val="60C2C1C9"/>
    <w:rsid w:val="60CFCC93"/>
    <w:rsid w:val="6120F9A1"/>
    <w:rsid w:val="61246B42"/>
    <w:rsid w:val="61384ED8"/>
    <w:rsid w:val="619D7583"/>
    <w:rsid w:val="61BDD212"/>
    <w:rsid w:val="61EA2BB7"/>
    <w:rsid w:val="61F0128D"/>
    <w:rsid w:val="61FCEBBC"/>
    <w:rsid w:val="62023AF5"/>
    <w:rsid w:val="6239CC84"/>
    <w:rsid w:val="625A565B"/>
    <w:rsid w:val="627C57CC"/>
    <w:rsid w:val="6286ABA7"/>
    <w:rsid w:val="6290361A"/>
    <w:rsid w:val="62E48400"/>
    <w:rsid w:val="62F7C7DD"/>
    <w:rsid w:val="633052D2"/>
    <w:rsid w:val="63385454"/>
    <w:rsid w:val="634538D6"/>
    <w:rsid w:val="63715B42"/>
    <w:rsid w:val="6398D0FE"/>
    <w:rsid w:val="63AA094A"/>
    <w:rsid w:val="63E01E27"/>
    <w:rsid w:val="640F0212"/>
    <w:rsid w:val="64318757"/>
    <w:rsid w:val="646E281E"/>
    <w:rsid w:val="649AABDD"/>
    <w:rsid w:val="64E4FD89"/>
    <w:rsid w:val="64FB9C63"/>
    <w:rsid w:val="64FF8B09"/>
    <w:rsid w:val="6508FC3D"/>
    <w:rsid w:val="650F0182"/>
    <w:rsid w:val="65530171"/>
    <w:rsid w:val="655B1296"/>
    <w:rsid w:val="6593A429"/>
    <w:rsid w:val="6594F555"/>
    <w:rsid w:val="65C2FC34"/>
    <w:rsid w:val="65C47195"/>
    <w:rsid w:val="6645A11A"/>
    <w:rsid w:val="66685408"/>
    <w:rsid w:val="667598BC"/>
    <w:rsid w:val="668AA34F"/>
    <w:rsid w:val="66A41967"/>
    <w:rsid w:val="66C0435C"/>
    <w:rsid w:val="66DF9A95"/>
    <w:rsid w:val="66E43270"/>
    <w:rsid w:val="66F4456D"/>
    <w:rsid w:val="67419469"/>
    <w:rsid w:val="674D333F"/>
    <w:rsid w:val="6761DE90"/>
    <w:rsid w:val="67656C3E"/>
    <w:rsid w:val="6781817E"/>
    <w:rsid w:val="67ACCA38"/>
    <w:rsid w:val="67C28C4A"/>
    <w:rsid w:val="6809332E"/>
    <w:rsid w:val="683FE9C8"/>
    <w:rsid w:val="68429074"/>
    <w:rsid w:val="684CAEF5"/>
    <w:rsid w:val="686894E4"/>
    <w:rsid w:val="689F1278"/>
    <w:rsid w:val="68D85A98"/>
    <w:rsid w:val="69067497"/>
    <w:rsid w:val="693436C9"/>
    <w:rsid w:val="694ABC18"/>
    <w:rsid w:val="695F6DD0"/>
    <w:rsid w:val="6963AE30"/>
    <w:rsid w:val="6973615E"/>
    <w:rsid w:val="697B8984"/>
    <w:rsid w:val="6A215D34"/>
    <w:rsid w:val="6A32CC8C"/>
    <w:rsid w:val="6A6BCE6F"/>
    <w:rsid w:val="6A787483"/>
    <w:rsid w:val="6AB771A8"/>
    <w:rsid w:val="6ACBCE26"/>
    <w:rsid w:val="6AE11988"/>
    <w:rsid w:val="6AFC1505"/>
    <w:rsid w:val="6B080039"/>
    <w:rsid w:val="6B26AFA4"/>
    <w:rsid w:val="6B72DF75"/>
    <w:rsid w:val="6BABC800"/>
    <w:rsid w:val="6BC38D95"/>
    <w:rsid w:val="6BE0D6DF"/>
    <w:rsid w:val="6BF501EB"/>
    <w:rsid w:val="6BFCF21C"/>
    <w:rsid w:val="6BFE6BC2"/>
    <w:rsid w:val="6C2F98E1"/>
    <w:rsid w:val="6C4AB84A"/>
    <w:rsid w:val="6C5D5C44"/>
    <w:rsid w:val="6C831218"/>
    <w:rsid w:val="6C8CD447"/>
    <w:rsid w:val="6CA623A8"/>
    <w:rsid w:val="6CC28005"/>
    <w:rsid w:val="6CF49684"/>
    <w:rsid w:val="6D2DA145"/>
    <w:rsid w:val="6D62B73A"/>
    <w:rsid w:val="6D6A457E"/>
    <w:rsid w:val="6DA1C71B"/>
    <w:rsid w:val="6DC453EB"/>
    <w:rsid w:val="6DD9C716"/>
    <w:rsid w:val="6E116A78"/>
    <w:rsid w:val="6E31640B"/>
    <w:rsid w:val="6E3BCA82"/>
    <w:rsid w:val="6E4BC18C"/>
    <w:rsid w:val="6E50AA78"/>
    <w:rsid w:val="6E531BF4"/>
    <w:rsid w:val="6E75B03A"/>
    <w:rsid w:val="6EA0849F"/>
    <w:rsid w:val="6ECC1190"/>
    <w:rsid w:val="6EF58021"/>
    <w:rsid w:val="6F132ED4"/>
    <w:rsid w:val="6F17AF91"/>
    <w:rsid w:val="6F290318"/>
    <w:rsid w:val="6F2C0BC5"/>
    <w:rsid w:val="6F2FE387"/>
    <w:rsid w:val="6F4F2D40"/>
    <w:rsid w:val="6F60FFD4"/>
    <w:rsid w:val="6F70B0B2"/>
    <w:rsid w:val="6F81C46D"/>
    <w:rsid w:val="6F86F4D4"/>
    <w:rsid w:val="6FD38701"/>
    <w:rsid w:val="6FEF0461"/>
    <w:rsid w:val="6FFF4153"/>
    <w:rsid w:val="70365D56"/>
    <w:rsid w:val="703CE627"/>
    <w:rsid w:val="70405609"/>
    <w:rsid w:val="706F113B"/>
    <w:rsid w:val="70BABAE4"/>
    <w:rsid w:val="70F354AB"/>
    <w:rsid w:val="70FC490E"/>
    <w:rsid w:val="713085A7"/>
    <w:rsid w:val="7151A3D4"/>
    <w:rsid w:val="7165D09D"/>
    <w:rsid w:val="71767D73"/>
    <w:rsid w:val="71F6B038"/>
    <w:rsid w:val="720857E3"/>
    <w:rsid w:val="722205DF"/>
    <w:rsid w:val="7234E7E4"/>
    <w:rsid w:val="724E1452"/>
    <w:rsid w:val="728F0385"/>
    <w:rsid w:val="7297CA38"/>
    <w:rsid w:val="72AB2A90"/>
    <w:rsid w:val="72B7F30E"/>
    <w:rsid w:val="72C5254A"/>
    <w:rsid w:val="732B54B6"/>
    <w:rsid w:val="73479731"/>
    <w:rsid w:val="738F89B0"/>
    <w:rsid w:val="739A4C44"/>
    <w:rsid w:val="73A98D1B"/>
    <w:rsid w:val="73B5F5C5"/>
    <w:rsid w:val="746AE6AC"/>
    <w:rsid w:val="74A28E2D"/>
    <w:rsid w:val="74A71D64"/>
    <w:rsid w:val="74E1D186"/>
    <w:rsid w:val="74FA3388"/>
    <w:rsid w:val="7500995E"/>
    <w:rsid w:val="7503C347"/>
    <w:rsid w:val="752610F0"/>
    <w:rsid w:val="7531607A"/>
    <w:rsid w:val="755EAA14"/>
    <w:rsid w:val="75B5A40E"/>
    <w:rsid w:val="75D1ECB1"/>
    <w:rsid w:val="75DCF077"/>
    <w:rsid w:val="76217B4A"/>
    <w:rsid w:val="76406AED"/>
    <w:rsid w:val="7681BC29"/>
    <w:rsid w:val="769949E4"/>
    <w:rsid w:val="76A0C90A"/>
    <w:rsid w:val="77221C53"/>
    <w:rsid w:val="773FE40B"/>
    <w:rsid w:val="77416BE1"/>
    <w:rsid w:val="77719D0F"/>
    <w:rsid w:val="77EA7890"/>
    <w:rsid w:val="7818E956"/>
    <w:rsid w:val="788873F7"/>
    <w:rsid w:val="788C01B4"/>
    <w:rsid w:val="78935BFC"/>
    <w:rsid w:val="78F9365D"/>
    <w:rsid w:val="78FC48FC"/>
    <w:rsid w:val="791C3B8B"/>
    <w:rsid w:val="7923DBA1"/>
    <w:rsid w:val="793145E6"/>
    <w:rsid w:val="7933480B"/>
    <w:rsid w:val="79340349"/>
    <w:rsid w:val="79547890"/>
    <w:rsid w:val="79808B85"/>
    <w:rsid w:val="79921E1F"/>
    <w:rsid w:val="79A36397"/>
    <w:rsid w:val="7A0246CF"/>
    <w:rsid w:val="7A05C7F0"/>
    <w:rsid w:val="7A073D7F"/>
    <w:rsid w:val="7A27D2AC"/>
    <w:rsid w:val="7A2DED8F"/>
    <w:rsid w:val="7A4ED995"/>
    <w:rsid w:val="7A6738E2"/>
    <w:rsid w:val="7A9DCBB4"/>
    <w:rsid w:val="7AE676A6"/>
    <w:rsid w:val="7B0ECA93"/>
    <w:rsid w:val="7B23CA39"/>
    <w:rsid w:val="7B303E78"/>
    <w:rsid w:val="7B61D860"/>
    <w:rsid w:val="7B9FC378"/>
    <w:rsid w:val="7BEFF1E1"/>
    <w:rsid w:val="7C224BB1"/>
    <w:rsid w:val="7C7A8195"/>
    <w:rsid w:val="7CBEFA0D"/>
    <w:rsid w:val="7CCF6692"/>
    <w:rsid w:val="7CDABB2A"/>
    <w:rsid w:val="7CF16F7C"/>
    <w:rsid w:val="7D338376"/>
    <w:rsid w:val="7D3CCC35"/>
    <w:rsid w:val="7DA742E1"/>
    <w:rsid w:val="7E10291F"/>
    <w:rsid w:val="7E81893C"/>
    <w:rsid w:val="7EA6A3A3"/>
    <w:rsid w:val="7F181DAD"/>
    <w:rsid w:val="7F2AD55F"/>
    <w:rsid w:val="7F305CB0"/>
    <w:rsid w:val="7F39D464"/>
    <w:rsid w:val="7F59EC73"/>
    <w:rsid w:val="7F84A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20F7"/>
  <w15:chartTrackingRefBased/>
  <w15:docId w15:val="{16977F03-B07A-413A-B6DA-5F2A6297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E2924"/>
    <w:pPr>
      <w:tabs>
        <w:tab w:val="left" w:pos="260"/>
      </w:tabs>
      <w:spacing w:line="480" w:lineRule="auto"/>
      <w:ind w:left="264" w:hanging="264"/>
    </w:pPr>
  </w:style>
  <w:style w:type="paragraph" w:styleId="NormalWeb">
    <w:name w:val="Normal (Web)"/>
    <w:basedOn w:val="Normal"/>
    <w:uiPriority w:val="99"/>
    <w:unhideWhenUsed/>
    <w:rsid w:val="00272ED0"/>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272ED0"/>
    <w:rPr>
      <w:b/>
      <w:bCs/>
    </w:rPr>
  </w:style>
  <w:style w:type="character" w:styleId="CommentReference">
    <w:name w:val="annotation reference"/>
    <w:basedOn w:val="DefaultParagraphFont"/>
    <w:uiPriority w:val="99"/>
    <w:semiHidden/>
    <w:unhideWhenUsed/>
    <w:rsid w:val="00FA1416"/>
    <w:rPr>
      <w:sz w:val="16"/>
      <w:szCs w:val="16"/>
    </w:rPr>
  </w:style>
  <w:style w:type="paragraph" w:styleId="CommentText">
    <w:name w:val="annotation text"/>
    <w:basedOn w:val="Normal"/>
    <w:link w:val="CommentTextChar"/>
    <w:uiPriority w:val="99"/>
    <w:unhideWhenUsed/>
    <w:rsid w:val="00FA1416"/>
    <w:pPr>
      <w:spacing w:line="240" w:lineRule="auto"/>
    </w:pPr>
    <w:rPr>
      <w:sz w:val="20"/>
      <w:szCs w:val="20"/>
    </w:rPr>
  </w:style>
  <w:style w:type="character" w:customStyle="1" w:styleId="CommentTextChar">
    <w:name w:val="Comment Text Char"/>
    <w:basedOn w:val="DefaultParagraphFont"/>
    <w:link w:val="CommentText"/>
    <w:uiPriority w:val="99"/>
    <w:rsid w:val="00FA1416"/>
    <w:rPr>
      <w:sz w:val="20"/>
      <w:szCs w:val="20"/>
    </w:rPr>
  </w:style>
  <w:style w:type="paragraph" w:styleId="CommentSubject">
    <w:name w:val="annotation subject"/>
    <w:basedOn w:val="CommentText"/>
    <w:next w:val="CommentText"/>
    <w:link w:val="CommentSubjectChar"/>
    <w:uiPriority w:val="99"/>
    <w:semiHidden/>
    <w:unhideWhenUsed/>
    <w:rsid w:val="00FA1416"/>
    <w:rPr>
      <w:b/>
      <w:bCs/>
    </w:rPr>
  </w:style>
  <w:style w:type="character" w:customStyle="1" w:styleId="CommentSubjectChar">
    <w:name w:val="Comment Subject Char"/>
    <w:basedOn w:val="CommentTextChar"/>
    <w:link w:val="CommentSubject"/>
    <w:uiPriority w:val="99"/>
    <w:semiHidden/>
    <w:rsid w:val="00FA1416"/>
    <w:rPr>
      <w:b/>
      <w:bCs/>
      <w:sz w:val="20"/>
      <w:szCs w:val="20"/>
    </w:rPr>
  </w:style>
  <w:style w:type="paragraph" w:styleId="z-TopofForm">
    <w:name w:val="HTML Top of Form"/>
    <w:basedOn w:val="Normal"/>
    <w:next w:val="Normal"/>
    <w:link w:val="z-TopofFormChar"/>
    <w:hidden/>
    <w:uiPriority w:val="99"/>
    <w:semiHidden/>
    <w:unhideWhenUsed/>
    <w:rsid w:val="002A138D"/>
    <w:pPr>
      <w:pBdr>
        <w:bottom w:val="single" w:sz="6" w:space="1" w:color="auto"/>
      </w:pBdr>
      <w:spacing w:line="240" w:lineRule="auto"/>
      <w:jc w:val="center"/>
    </w:pPr>
    <w:rPr>
      <w:rFonts w:eastAsia="Times New Roman"/>
      <w:vanish/>
      <w:kern w:val="0"/>
      <w:sz w:val="16"/>
      <w:szCs w:val="16"/>
      <w14:ligatures w14:val="none"/>
    </w:rPr>
  </w:style>
  <w:style w:type="character" w:customStyle="1" w:styleId="z-TopofFormChar">
    <w:name w:val="z-Top of Form Char"/>
    <w:basedOn w:val="DefaultParagraphFont"/>
    <w:link w:val="z-TopofForm"/>
    <w:uiPriority w:val="99"/>
    <w:semiHidden/>
    <w:rsid w:val="002A138D"/>
    <w:rPr>
      <w:rFonts w:eastAsia="Times New Roman"/>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2A138D"/>
    <w:pPr>
      <w:pBdr>
        <w:top w:val="single" w:sz="6" w:space="1" w:color="auto"/>
      </w:pBdr>
      <w:spacing w:line="240" w:lineRule="auto"/>
      <w:jc w:val="center"/>
    </w:pPr>
    <w:rPr>
      <w:rFonts w:eastAsia="Times New Roman"/>
      <w:vanish/>
      <w:kern w:val="0"/>
      <w:sz w:val="16"/>
      <w:szCs w:val="16"/>
      <w14:ligatures w14:val="none"/>
    </w:rPr>
  </w:style>
  <w:style w:type="character" w:customStyle="1" w:styleId="z-BottomofFormChar">
    <w:name w:val="z-Bottom of Form Char"/>
    <w:basedOn w:val="DefaultParagraphFont"/>
    <w:link w:val="z-BottomofForm"/>
    <w:uiPriority w:val="99"/>
    <w:semiHidden/>
    <w:rsid w:val="002A138D"/>
    <w:rPr>
      <w:rFonts w:eastAsia="Times New Roman"/>
      <w:vanish/>
      <w:kern w:val="0"/>
      <w:sz w:val="16"/>
      <w:szCs w:val="16"/>
      <w14:ligatures w14:val="non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2A6FCE"/>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2A6FCE"/>
  </w:style>
  <w:style w:type="character" w:customStyle="1" w:styleId="eop">
    <w:name w:val="eop"/>
    <w:basedOn w:val="DefaultParagraphFont"/>
    <w:rsid w:val="002A6FCE"/>
  </w:style>
  <w:style w:type="paragraph" w:styleId="Revision">
    <w:name w:val="Revision"/>
    <w:hidden/>
    <w:uiPriority w:val="99"/>
    <w:semiHidden/>
    <w:rsid w:val="0003600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47874">
      <w:bodyDiv w:val="1"/>
      <w:marLeft w:val="0"/>
      <w:marRight w:val="0"/>
      <w:marTop w:val="0"/>
      <w:marBottom w:val="0"/>
      <w:divBdr>
        <w:top w:val="none" w:sz="0" w:space="0" w:color="auto"/>
        <w:left w:val="none" w:sz="0" w:space="0" w:color="auto"/>
        <w:bottom w:val="none" w:sz="0" w:space="0" w:color="auto"/>
        <w:right w:val="none" w:sz="0" w:space="0" w:color="auto"/>
      </w:divBdr>
    </w:div>
    <w:div w:id="954486495">
      <w:bodyDiv w:val="1"/>
      <w:marLeft w:val="0"/>
      <w:marRight w:val="0"/>
      <w:marTop w:val="0"/>
      <w:marBottom w:val="0"/>
      <w:divBdr>
        <w:top w:val="none" w:sz="0" w:space="0" w:color="auto"/>
        <w:left w:val="none" w:sz="0" w:space="0" w:color="auto"/>
        <w:bottom w:val="none" w:sz="0" w:space="0" w:color="auto"/>
        <w:right w:val="none" w:sz="0" w:space="0" w:color="auto"/>
      </w:divBdr>
      <w:divsChild>
        <w:div w:id="119617762">
          <w:marLeft w:val="0"/>
          <w:marRight w:val="0"/>
          <w:marTop w:val="0"/>
          <w:marBottom w:val="0"/>
          <w:divBdr>
            <w:top w:val="none" w:sz="0" w:space="0" w:color="auto"/>
            <w:left w:val="none" w:sz="0" w:space="0" w:color="auto"/>
            <w:bottom w:val="none" w:sz="0" w:space="0" w:color="auto"/>
            <w:right w:val="none" w:sz="0" w:space="0" w:color="auto"/>
          </w:divBdr>
          <w:divsChild>
            <w:div w:id="1821336973">
              <w:marLeft w:val="0"/>
              <w:marRight w:val="0"/>
              <w:marTop w:val="0"/>
              <w:marBottom w:val="0"/>
              <w:divBdr>
                <w:top w:val="none" w:sz="0" w:space="0" w:color="auto"/>
                <w:left w:val="none" w:sz="0" w:space="0" w:color="auto"/>
                <w:bottom w:val="none" w:sz="0" w:space="0" w:color="auto"/>
                <w:right w:val="none" w:sz="0" w:space="0" w:color="auto"/>
              </w:divBdr>
            </w:div>
          </w:divsChild>
        </w:div>
        <w:div w:id="156458241">
          <w:marLeft w:val="0"/>
          <w:marRight w:val="0"/>
          <w:marTop w:val="0"/>
          <w:marBottom w:val="0"/>
          <w:divBdr>
            <w:top w:val="none" w:sz="0" w:space="0" w:color="auto"/>
            <w:left w:val="none" w:sz="0" w:space="0" w:color="auto"/>
            <w:bottom w:val="none" w:sz="0" w:space="0" w:color="auto"/>
            <w:right w:val="none" w:sz="0" w:space="0" w:color="auto"/>
          </w:divBdr>
          <w:divsChild>
            <w:div w:id="141584992">
              <w:marLeft w:val="0"/>
              <w:marRight w:val="0"/>
              <w:marTop w:val="0"/>
              <w:marBottom w:val="0"/>
              <w:divBdr>
                <w:top w:val="none" w:sz="0" w:space="0" w:color="auto"/>
                <w:left w:val="none" w:sz="0" w:space="0" w:color="auto"/>
                <w:bottom w:val="none" w:sz="0" w:space="0" w:color="auto"/>
                <w:right w:val="none" w:sz="0" w:space="0" w:color="auto"/>
              </w:divBdr>
            </w:div>
          </w:divsChild>
        </w:div>
        <w:div w:id="204341644">
          <w:marLeft w:val="0"/>
          <w:marRight w:val="0"/>
          <w:marTop w:val="0"/>
          <w:marBottom w:val="0"/>
          <w:divBdr>
            <w:top w:val="none" w:sz="0" w:space="0" w:color="auto"/>
            <w:left w:val="none" w:sz="0" w:space="0" w:color="auto"/>
            <w:bottom w:val="none" w:sz="0" w:space="0" w:color="auto"/>
            <w:right w:val="none" w:sz="0" w:space="0" w:color="auto"/>
          </w:divBdr>
          <w:divsChild>
            <w:div w:id="836072283">
              <w:marLeft w:val="0"/>
              <w:marRight w:val="0"/>
              <w:marTop w:val="0"/>
              <w:marBottom w:val="0"/>
              <w:divBdr>
                <w:top w:val="none" w:sz="0" w:space="0" w:color="auto"/>
                <w:left w:val="none" w:sz="0" w:space="0" w:color="auto"/>
                <w:bottom w:val="none" w:sz="0" w:space="0" w:color="auto"/>
                <w:right w:val="none" w:sz="0" w:space="0" w:color="auto"/>
              </w:divBdr>
            </w:div>
          </w:divsChild>
        </w:div>
        <w:div w:id="205800571">
          <w:marLeft w:val="0"/>
          <w:marRight w:val="0"/>
          <w:marTop w:val="0"/>
          <w:marBottom w:val="0"/>
          <w:divBdr>
            <w:top w:val="none" w:sz="0" w:space="0" w:color="auto"/>
            <w:left w:val="none" w:sz="0" w:space="0" w:color="auto"/>
            <w:bottom w:val="none" w:sz="0" w:space="0" w:color="auto"/>
            <w:right w:val="none" w:sz="0" w:space="0" w:color="auto"/>
          </w:divBdr>
          <w:divsChild>
            <w:div w:id="404229441">
              <w:marLeft w:val="0"/>
              <w:marRight w:val="0"/>
              <w:marTop w:val="0"/>
              <w:marBottom w:val="0"/>
              <w:divBdr>
                <w:top w:val="none" w:sz="0" w:space="0" w:color="auto"/>
                <w:left w:val="none" w:sz="0" w:space="0" w:color="auto"/>
                <w:bottom w:val="none" w:sz="0" w:space="0" w:color="auto"/>
                <w:right w:val="none" w:sz="0" w:space="0" w:color="auto"/>
              </w:divBdr>
            </w:div>
          </w:divsChild>
        </w:div>
        <w:div w:id="267929945">
          <w:marLeft w:val="0"/>
          <w:marRight w:val="0"/>
          <w:marTop w:val="0"/>
          <w:marBottom w:val="0"/>
          <w:divBdr>
            <w:top w:val="none" w:sz="0" w:space="0" w:color="auto"/>
            <w:left w:val="none" w:sz="0" w:space="0" w:color="auto"/>
            <w:bottom w:val="none" w:sz="0" w:space="0" w:color="auto"/>
            <w:right w:val="none" w:sz="0" w:space="0" w:color="auto"/>
          </w:divBdr>
          <w:divsChild>
            <w:div w:id="725184483">
              <w:marLeft w:val="0"/>
              <w:marRight w:val="0"/>
              <w:marTop w:val="0"/>
              <w:marBottom w:val="0"/>
              <w:divBdr>
                <w:top w:val="none" w:sz="0" w:space="0" w:color="auto"/>
                <w:left w:val="none" w:sz="0" w:space="0" w:color="auto"/>
                <w:bottom w:val="none" w:sz="0" w:space="0" w:color="auto"/>
                <w:right w:val="none" w:sz="0" w:space="0" w:color="auto"/>
              </w:divBdr>
            </w:div>
          </w:divsChild>
        </w:div>
        <w:div w:id="309675756">
          <w:marLeft w:val="0"/>
          <w:marRight w:val="0"/>
          <w:marTop w:val="0"/>
          <w:marBottom w:val="0"/>
          <w:divBdr>
            <w:top w:val="none" w:sz="0" w:space="0" w:color="auto"/>
            <w:left w:val="none" w:sz="0" w:space="0" w:color="auto"/>
            <w:bottom w:val="none" w:sz="0" w:space="0" w:color="auto"/>
            <w:right w:val="none" w:sz="0" w:space="0" w:color="auto"/>
          </w:divBdr>
          <w:divsChild>
            <w:div w:id="891237353">
              <w:marLeft w:val="0"/>
              <w:marRight w:val="0"/>
              <w:marTop w:val="0"/>
              <w:marBottom w:val="0"/>
              <w:divBdr>
                <w:top w:val="none" w:sz="0" w:space="0" w:color="auto"/>
                <w:left w:val="none" w:sz="0" w:space="0" w:color="auto"/>
                <w:bottom w:val="none" w:sz="0" w:space="0" w:color="auto"/>
                <w:right w:val="none" w:sz="0" w:space="0" w:color="auto"/>
              </w:divBdr>
            </w:div>
          </w:divsChild>
        </w:div>
        <w:div w:id="329716538">
          <w:marLeft w:val="0"/>
          <w:marRight w:val="0"/>
          <w:marTop w:val="0"/>
          <w:marBottom w:val="0"/>
          <w:divBdr>
            <w:top w:val="none" w:sz="0" w:space="0" w:color="auto"/>
            <w:left w:val="none" w:sz="0" w:space="0" w:color="auto"/>
            <w:bottom w:val="none" w:sz="0" w:space="0" w:color="auto"/>
            <w:right w:val="none" w:sz="0" w:space="0" w:color="auto"/>
          </w:divBdr>
          <w:divsChild>
            <w:div w:id="966666623">
              <w:marLeft w:val="0"/>
              <w:marRight w:val="0"/>
              <w:marTop w:val="0"/>
              <w:marBottom w:val="0"/>
              <w:divBdr>
                <w:top w:val="none" w:sz="0" w:space="0" w:color="auto"/>
                <w:left w:val="none" w:sz="0" w:space="0" w:color="auto"/>
                <w:bottom w:val="none" w:sz="0" w:space="0" w:color="auto"/>
                <w:right w:val="none" w:sz="0" w:space="0" w:color="auto"/>
              </w:divBdr>
            </w:div>
          </w:divsChild>
        </w:div>
        <w:div w:id="427895780">
          <w:marLeft w:val="0"/>
          <w:marRight w:val="0"/>
          <w:marTop w:val="0"/>
          <w:marBottom w:val="0"/>
          <w:divBdr>
            <w:top w:val="none" w:sz="0" w:space="0" w:color="auto"/>
            <w:left w:val="none" w:sz="0" w:space="0" w:color="auto"/>
            <w:bottom w:val="none" w:sz="0" w:space="0" w:color="auto"/>
            <w:right w:val="none" w:sz="0" w:space="0" w:color="auto"/>
          </w:divBdr>
          <w:divsChild>
            <w:div w:id="1646199782">
              <w:marLeft w:val="0"/>
              <w:marRight w:val="0"/>
              <w:marTop w:val="0"/>
              <w:marBottom w:val="0"/>
              <w:divBdr>
                <w:top w:val="none" w:sz="0" w:space="0" w:color="auto"/>
                <w:left w:val="none" w:sz="0" w:space="0" w:color="auto"/>
                <w:bottom w:val="none" w:sz="0" w:space="0" w:color="auto"/>
                <w:right w:val="none" w:sz="0" w:space="0" w:color="auto"/>
              </w:divBdr>
            </w:div>
          </w:divsChild>
        </w:div>
        <w:div w:id="494690025">
          <w:marLeft w:val="0"/>
          <w:marRight w:val="0"/>
          <w:marTop w:val="0"/>
          <w:marBottom w:val="0"/>
          <w:divBdr>
            <w:top w:val="none" w:sz="0" w:space="0" w:color="auto"/>
            <w:left w:val="none" w:sz="0" w:space="0" w:color="auto"/>
            <w:bottom w:val="none" w:sz="0" w:space="0" w:color="auto"/>
            <w:right w:val="none" w:sz="0" w:space="0" w:color="auto"/>
          </w:divBdr>
          <w:divsChild>
            <w:div w:id="1861773557">
              <w:marLeft w:val="0"/>
              <w:marRight w:val="0"/>
              <w:marTop w:val="0"/>
              <w:marBottom w:val="0"/>
              <w:divBdr>
                <w:top w:val="none" w:sz="0" w:space="0" w:color="auto"/>
                <w:left w:val="none" w:sz="0" w:space="0" w:color="auto"/>
                <w:bottom w:val="none" w:sz="0" w:space="0" w:color="auto"/>
                <w:right w:val="none" w:sz="0" w:space="0" w:color="auto"/>
              </w:divBdr>
            </w:div>
          </w:divsChild>
        </w:div>
        <w:div w:id="544366059">
          <w:marLeft w:val="0"/>
          <w:marRight w:val="0"/>
          <w:marTop w:val="0"/>
          <w:marBottom w:val="0"/>
          <w:divBdr>
            <w:top w:val="none" w:sz="0" w:space="0" w:color="auto"/>
            <w:left w:val="none" w:sz="0" w:space="0" w:color="auto"/>
            <w:bottom w:val="none" w:sz="0" w:space="0" w:color="auto"/>
            <w:right w:val="none" w:sz="0" w:space="0" w:color="auto"/>
          </w:divBdr>
          <w:divsChild>
            <w:div w:id="67577734">
              <w:marLeft w:val="0"/>
              <w:marRight w:val="0"/>
              <w:marTop w:val="0"/>
              <w:marBottom w:val="0"/>
              <w:divBdr>
                <w:top w:val="none" w:sz="0" w:space="0" w:color="auto"/>
                <w:left w:val="none" w:sz="0" w:space="0" w:color="auto"/>
                <w:bottom w:val="none" w:sz="0" w:space="0" w:color="auto"/>
                <w:right w:val="none" w:sz="0" w:space="0" w:color="auto"/>
              </w:divBdr>
            </w:div>
            <w:div w:id="1314600167">
              <w:marLeft w:val="0"/>
              <w:marRight w:val="0"/>
              <w:marTop w:val="0"/>
              <w:marBottom w:val="0"/>
              <w:divBdr>
                <w:top w:val="none" w:sz="0" w:space="0" w:color="auto"/>
                <w:left w:val="none" w:sz="0" w:space="0" w:color="auto"/>
                <w:bottom w:val="none" w:sz="0" w:space="0" w:color="auto"/>
                <w:right w:val="none" w:sz="0" w:space="0" w:color="auto"/>
              </w:divBdr>
            </w:div>
          </w:divsChild>
        </w:div>
        <w:div w:id="629018273">
          <w:marLeft w:val="0"/>
          <w:marRight w:val="0"/>
          <w:marTop w:val="0"/>
          <w:marBottom w:val="0"/>
          <w:divBdr>
            <w:top w:val="none" w:sz="0" w:space="0" w:color="auto"/>
            <w:left w:val="none" w:sz="0" w:space="0" w:color="auto"/>
            <w:bottom w:val="none" w:sz="0" w:space="0" w:color="auto"/>
            <w:right w:val="none" w:sz="0" w:space="0" w:color="auto"/>
          </w:divBdr>
          <w:divsChild>
            <w:div w:id="1386291326">
              <w:marLeft w:val="0"/>
              <w:marRight w:val="0"/>
              <w:marTop w:val="0"/>
              <w:marBottom w:val="0"/>
              <w:divBdr>
                <w:top w:val="none" w:sz="0" w:space="0" w:color="auto"/>
                <w:left w:val="none" w:sz="0" w:space="0" w:color="auto"/>
                <w:bottom w:val="none" w:sz="0" w:space="0" w:color="auto"/>
                <w:right w:val="none" w:sz="0" w:space="0" w:color="auto"/>
              </w:divBdr>
            </w:div>
          </w:divsChild>
        </w:div>
        <w:div w:id="659819850">
          <w:marLeft w:val="0"/>
          <w:marRight w:val="0"/>
          <w:marTop w:val="0"/>
          <w:marBottom w:val="0"/>
          <w:divBdr>
            <w:top w:val="none" w:sz="0" w:space="0" w:color="auto"/>
            <w:left w:val="none" w:sz="0" w:space="0" w:color="auto"/>
            <w:bottom w:val="none" w:sz="0" w:space="0" w:color="auto"/>
            <w:right w:val="none" w:sz="0" w:space="0" w:color="auto"/>
          </w:divBdr>
          <w:divsChild>
            <w:div w:id="1022633754">
              <w:marLeft w:val="0"/>
              <w:marRight w:val="0"/>
              <w:marTop w:val="0"/>
              <w:marBottom w:val="0"/>
              <w:divBdr>
                <w:top w:val="none" w:sz="0" w:space="0" w:color="auto"/>
                <w:left w:val="none" w:sz="0" w:space="0" w:color="auto"/>
                <w:bottom w:val="none" w:sz="0" w:space="0" w:color="auto"/>
                <w:right w:val="none" w:sz="0" w:space="0" w:color="auto"/>
              </w:divBdr>
            </w:div>
          </w:divsChild>
        </w:div>
        <w:div w:id="671377606">
          <w:marLeft w:val="0"/>
          <w:marRight w:val="0"/>
          <w:marTop w:val="0"/>
          <w:marBottom w:val="0"/>
          <w:divBdr>
            <w:top w:val="none" w:sz="0" w:space="0" w:color="auto"/>
            <w:left w:val="none" w:sz="0" w:space="0" w:color="auto"/>
            <w:bottom w:val="none" w:sz="0" w:space="0" w:color="auto"/>
            <w:right w:val="none" w:sz="0" w:space="0" w:color="auto"/>
          </w:divBdr>
          <w:divsChild>
            <w:div w:id="1950699159">
              <w:marLeft w:val="0"/>
              <w:marRight w:val="0"/>
              <w:marTop w:val="0"/>
              <w:marBottom w:val="0"/>
              <w:divBdr>
                <w:top w:val="none" w:sz="0" w:space="0" w:color="auto"/>
                <w:left w:val="none" w:sz="0" w:space="0" w:color="auto"/>
                <w:bottom w:val="none" w:sz="0" w:space="0" w:color="auto"/>
                <w:right w:val="none" w:sz="0" w:space="0" w:color="auto"/>
              </w:divBdr>
            </w:div>
          </w:divsChild>
        </w:div>
        <w:div w:id="737871761">
          <w:marLeft w:val="0"/>
          <w:marRight w:val="0"/>
          <w:marTop w:val="0"/>
          <w:marBottom w:val="0"/>
          <w:divBdr>
            <w:top w:val="none" w:sz="0" w:space="0" w:color="auto"/>
            <w:left w:val="none" w:sz="0" w:space="0" w:color="auto"/>
            <w:bottom w:val="none" w:sz="0" w:space="0" w:color="auto"/>
            <w:right w:val="none" w:sz="0" w:space="0" w:color="auto"/>
          </w:divBdr>
          <w:divsChild>
            <w:div w:id="2003850410">
              <w:marLeft w:val="0"/>
              <w:marRight w:val="0"/>
              <w:marTop w:val="0"/>
              <w:marBottom w:val="0"/>
              <w:divBdr>
                <w:top w:val="none" w:sz="0" w:space="0" w:color="auto"/>
                <w:left w:val="none" w:sz="0" w:space="0" w:color="auto"/>
                <w:bottom w:val="none" w:sz="0" w:space="0" w:color="auto"/>
                <w:right w:val="none" w:sz="0" w:space="0" w:color="auto"/>
              </w:divBdr>
            </w:div>
          </w:divsChild>
        </w:div>
        <w:div w:id="788277557">
          <w:marLeft w:val="0"/>
          <w:marRight w:val="0"/>
          <w:marTop w:val="0"/>
          <w:marBottom w:val="0"/>
          <w:divBdr>
            <w:top w:val="none" w:sz="0" w:space="0" w:color="auto"/>
            <w:left w:val="none" w:sz="0" w:space="0" w:color="auto"/>
            <w:bottom w:val="none" w:sz="0" w:space="0" w:color="auto"/>
            <w:right w:val="none" w:sz="0" w:space="0" w:color="auto"/>
          </w:divBdr>
          <w:divsChild>
            <w:div w:id="1896812886">
              <w:marLeft w:val="0"/>
              <w:marRight w:val="0"/>
              <w:marTop w:val="0"/>
              <w:marBottom w:val="0"/>
              <w:divBdr>
                <w:top w:val="none" w:sz="0" w:space="0" w:color="auto"/>
                <w:left w:val="none" w:sz="0" w:space="0" w:color="auto"/>
                <w:bottom w:val="none" w:sz="0" w:space="0" w:color="auto"/>
                <w:right w:val="none" w:sz="0" w:space="0" w:color="auto"/>
              </w:divBdr>
            </w:div>
          </w:divsChild>
        </w:div>
        <w:div w:id="792020294">
          <w:marLeft w:val="0"/>
          <w:marRight w:val="0"/>
          <w:marTop w:val="0"/>
          <w:marBottom w:val="0"/>
          <w:divBdr>
            <w:top w:val="none" w:sz="0" w:space="0" w:color="auto"/>
            <w:left w:val="none" w:sz="0" w:space="0" w:color="auto"/>
            <w:bottom w:val="none" w:sz="0" w:space="0" w:color="auto"/>
            <w:right w:val="none" w:sz="0" w:space="0" w:color="auto"/>
          </w:divBdr>
          <w:divsChild>
            <w:div w:id="1867867164">
              <w:marLeft w:val="0"/>
              <w:marRight w:val="0"/>
              <w:marTop w:val="0"/>
              <w:marBottom w:val="0"/>
              <w:divBdr>
                <w:top w:val="none" w:sz="0" w:space="0" w:color="auto"/>
                <w:left w:val="none" w:sz="0" w:space="0" w:color="auto"/>
                <w:bottom w:val="none" w:sz="0" w:space="0" w:color="auto"/>
                <w:right w:val="none" w:sz="0" w:space="0" w:color="auto"/>
              </w:divBdr>
            </w:div>
          </w:divsChild>
        </w:div>
        <w:div w:id="816533942">
          <w:marLeft w:val="0"/>
          <w:marRight w:val="0"/>
          <w:marTop w:val="0"/>
          <w:marBottom w:val="0"/>
          <w:divBdr>
            <w:top w:val="none" w:sz="0" w:space="0" w:color="auto"/>
            <w:left w:val="none" w:sz="0" w:space="0" w:color="auto"/>
            <w:bottom w:val="none" w:sz="0" w:space="0" w:color="auto"/>
            <w:right w:val="none" w:sz="0" w:space="0" w:color="auto"/>
          </w:divBdr>
          <w:divsChild>
            <w:div w:id="1062369296">
              <w:marLeft w:val="0"/>
              <w:marRight w:val="0"/>
              <w:marTop w:val="0"/>
              <w:marBottom w:val="0"/>
              <w:divBdr>
                <w:top w:val="none" w:sz="0" w:space="0" w:color="auto"/>
                <w:left w:val="none" w:sz="0" w:space="0" w:color="auto"/>
                <w:bottom w:val="none" w:sz="0" w:space="0" w:color="auto"/>
                <w:right w:val="none" w:sz="0" w:space="0" w:color="auto"/>
              </w:divBdr>
            </w:div>
          </w:divsChild>
        </w:div>
        <w:div w:id="823474498">
          <w:marLeft w:val="0"/>
          <w:marRight w:val="0"/>
          <w:marTop w:val="0"/>
          <w:marBottom w:val="0"/>
          <w:divBdr>
            <w:top w:val="none" w:sz="0" w:space="0" w:color="auto"/>
            <w:left w:val="none" w:sz="0" w:space="0" w:color="auto"/>
            <w:bottom w:val="none" w:sz="0" w:space="0" w:color="auto"/>
            <w:right w:val="none" w:sz="0" w:space="0" w:color="auto"/>
          </w:divBdr>
          <w:divsChild>
            <w:div w:id="435448717">
              <w:marLeft w:val="0"/>
              <w:marRight w:val="0"/>
              <w:marTop w:val="0"/>
              <w:marBottom w:val="0"/>
              <w:divBdr>
                <w:top w:val="none" w:sz="0" w:space="0" w:color="auto"/>
                <w:left w:val="none" w:sz="0" w:space="0" w:color="auto"/>
                <w:bottom w:val="none" w:sz="0" w:space="0" w:color="auto"/>
                <w:right w:val="none" w:sz="0" w:space="0" w:color="auto"/>
              </w:divBdr>
            </w:div>
          </w:divsChild>
        </w:div>
        <w:div w:id="827593623">
          <w:marLeft w:val="0"/>
          <w:marRight w:val="0"/>
          <w:marTop w:val="0"/>
          <w:marBottom w:val="0"/>
          <w:divBdr>
            <w:top w:val="none" w:sz="0" w:space="0" w:color="auto"/>
            <w:left w:val="none" w:sz="0" w:space="0" w:color="auto"/>
            <w:bottom w:val="none" w:sz="0" w:space="0" w:color="auto"/>
            <w:right w:val="none" w:sz="0" w:space="0" w:color="auto"/>
          </w:divBdr>
          <w:divsChild>
            <w:div w:id="593827035">
              <w:marLeft w:val="0"/>
              <w:marRight w:val="0"/>
              <w:marTop w:val="0"/>
              <w:marBottom w:val="0"/>
              <w:divBdr>
                <w:top w:val="none" w:sz="0" w:space="0" w:color="auto"/>
                <w:left w:val="none" w:sz="0" w:space="0" w:color="auto"/>
                <w:bottom w:val="none" w:sz="0" w:space="0" w:color="auto"/>
                <w:right w:val="none" w:sz="0" w:space="0" w:color="auto"/>
              </w:divBdr>
            </w:div>
          </w:divsChild>
        </w:div>
        <w:div w:id="851602495">
          <w:marLeft w:val="0"/>
          <w:marRight w:val="0"/>
          <w:marTop w:val="0"/>
          <w:marBottom w:val="0"/>
          <w:divBdr>
            <w:top w:val="none" w:sz="0" w:space="0" w:color="auto"/>
            <w:left w:val="none" w:sz="0" w:space="0" w:color="auto"/>
            <w:bottom w:val="none" w:sz="0" w:space="0" w:color="auto"/>
            <w:right w:val="none" w:sz="0" w:space="0" w:color="auto"/>
          </w:divBdr>
          <w:divsChild>
            <w:div w:id="700126848">
              <w:marLeft w:val="0"/>
              <w:marRight w:val="0"/>
              <w:marTop w:val="0"/>
              <w:marBottom w:val="0"/>
              <w:divBdr>
                <w:top w:val="none" w:sz="0" w:space="0" w:color="auto"/>
                <w:left w:val="none" w:sz="0" w:space="0" w:color="auto"/>
                <w:bottom w:val="none" w:sz="0" w:space="0" w:color="auto"/>
                <w:right w:val="none" w:sz="0" w:space="0" w:color="auto"/>
              </w:divBdr>
            </w:div>
          </w:divsChild>
        </w:div>
        <w:div w:id="857237856">
          <w:marLeft w:val="0"/>
          <w:marRight w:val="0"/>
          <w:marTop w:val="0"/>
          <w:marBottom w:val="0"/>
          <w:divBdr>
            <w:top w:val="none" w:sz="0" w:space="0" w:color="auto"/>
            <w:left w:val="none" w:sz="0" w:space="0" w:color="auto"/>
            <w:bottom w:val="none" w:sz="0" w:space="0" w:color="auto"/>
            <w:right w:val="none" w:sz="0" w:space="0" w:color="auto"/>
          </w:divBdr>
          <w:divsChild>
            <w:div w:id="472718359">
              <w:marLeft w:val="0"/>
              <w:marRight w:val="0"/>
              <w:marTop w:val="0"/>
              <w:marBottom w:val="0"/>
              <w:divBdr>
                <w:top w:val="none" w:sz="0" w:space="0" w:color="auto"/>
                <w:left w:val="none" w:sz="0" w:space="0" w:color="auto"/>
                <w:bottom w:val="none" w:sz="0" w:space="0" w:color="auto"/>
                <w:right w:val="none" w:sz="0" w:space="0" w:color="auto"/>
              </w:divBdr>
            </w:div>
          </w:divsChild>
        </w:div>
        <w:div w:id="902061841">
          <w:marLeft w:val="0"/>
          <w:marRight w:val="0"/>
          <w:marTop w:val="0"/>
          <w:marBottom w:val="0"/>
          <w:divBdr>
            <w:top w:val="none" w:sz="0" w:space="0" w:color="auto"/>
            <w:left w:val="none" w:sz="0" w:space="0" w:color="auto"/>
            <w:bottom w:val="none" w:sz="0" w:space="0" w:color="auto"/>
            <w:right w:val="none" w:sz="0" w:space="0" w:color="auto"/>
          </w:divBdr>
          <w:divsChild>
            <w:div w:id="1243560628">
              <w:marLeft w:val="0"/>
              <w:marRight w:val="0"/>
              <w:marTop w:val="0"/>
              <w:marBottom w:val="0"/>
              <w:divBdr>
                <w:top w:val="none" w:sz="0" w:space="0" w:color="auto"/>
                <w:left w:val="none" w:sz="0" w:space="0" w:color="auto"/>
                <w:bottom w:val="none" w:sz="0" w:space="0" w:color="auto"/>
                <w:right w:val="none" w:sz="0" w:space="0" w:color="auto"/>
              </w:divBdr>
            </w:div>
          </w:divsChild>
        </w:div>
        <w:div w:id="977875608">
          <w:marLeft w:val="0"/>
          <w:marRight w:val="0"/>
          <w:marTop w:val="0"/>
          <w:marBottom w:val="0"/>
          <w:divBdr>
            <w:top w:val="none" w:sz="0" w:space="0" w:color="auto"/>
            <w:left w:val="none" w:sz="0" w:space="0" w:color="auto"/>
            <w:bottom w:val="none" w:sz="0" w:space="0" w:color="auto"/>
            <w:right w:val="none" w:sz="0" w:space="0" w:color="auto"/>
          </w:divBdr>
          <w:divsChild>
            <w:div w:id="1225333099">
              <w:marLeft w:val="0"/>
              <w:marRight w:val="0"/>
              <w:marTop w:val="0"/>
              <w:marBottom w:val="0"/>
              <w:divBdr>
                <w:top w:val="none" w:sz="0" w:space="0" w:color="auto"/>
                <w:left w:val="none" w:sz="0" w:space="0" w:color="auto"/>
                <w:bottom w:val="none" w:sz="0" w:space="0" w:color="auto"/>
                <w:right w:val="none" w:sz="0" w:space="0" w:color="auto"/>
              </w:divBdr>
            </w:div>
          </w:divsChild>
        </w:div>
        <w:div w:id="1059550968">
          <w:marLeft w:val="0"/>
          <w:marRight w:val="0"/>
          <w:marTop w:val="0"/>
          <w:marBottom w:val="0"/>
          <w:divBdr>
            <w:top w:val="none" w:sz="0" w:space="0" w:color="auto"/>
            <w:left w:val="none" w:sz="0" w:space="0" w:color="auto"/>
            <w:bottom w:val="none" w:sz="0" w:space="0" w:color="auto"/>
            <w:right w:val="none" w:sz="0" w:space="0" w:color="auto"/>
          </w:divBdr>
          <w:divsChild>
            <w:div w:id="297997595">
              <w:marLeft w:val="0"/>
              <w:marRight w:val="0"/>
              <w:marTop w:val="0"/>
              <w:marBottom w:val="0"/>
              <w:divBdr>
                <w:top w:val="none" w:sz="0" w:space="0" w:color="auto"/>
                <w:left w:val="none" w:sz="0" w:space="0" w:color="auto"/>
                <w:bottom w:val="none" w:sz="0" w:space="0" w:color="auto"/>
                <w:right w:val="none" w:sz="0" w:space="0" w:color="auto"/>
              </w:divBdr>
            </w:div>
          </w:divsChild>
        </w:div>
        <w:div w:id="1097824981">
          <w:marLeft w:val="0"/>
          <w:marRight w:val="0"/>
          <w:marTop w:val="0"/>
          <w:marBottom w:val="0"/>
          <w:divBdr>
            <w:top w:val="none" w:sz="0" w:space="0" w:color="auto"/>
            <w:left w:val="none" w:sz="0" w:space="0" w:color="auto"/>
            <w:bottom w:val="none" w:sz="0" w:space="0" w:color="auto"/>
            <w:right w:val="none" w:sz="0" w:space="0" w:color="auto"/>
          </w:divBdr>
          <w:divsChild>
            <w:div w:id="1142307125">
              <w:marLeft w:val="0"/>
              <w:marRight w:val="0"/>
              <w:marTop w:val="0"/>
              <w:marBottom w:val="0"/>
              <w:divBdr>
                <w:top w:val="none" w:sz="0" w:space="0" w:color="auto"/>
                <w:left w:val="none" w:sz="0" w:space="0" w:color="auto"/>
                <w:bottom w:val="none" w:sz="0" w:space="0" w:color="auto"/>
                <w:right w:val="none" w:sz="0" w:space="0" w:color="auto"/>
              </w:divBdr>
            </w:div>
          </w:divsChild>
        </w:div>
        <w:div w:id="1175847195">
          <w:marLeft w:val="0"/>
          <w:marRight w:val="0"/>
          <w:marTop w:val="0"/>
          <w:marBottom w:val="0"/>
          <w:divBdr>
            <w:top w:val="none" w:sz="0" w:space="0" w:color="auto"/>
            <w:left w:val="none" w:sz="0" w:space="0" w:color="auto"/>
            <w:bottom w:val="none" w:sz="0" w:space="0" w:color="auto"/>
            <w:right w:val="none" w:sz="0" w:space="0" w:color="auto"/>
          </w:divBdr>
          <w:divsChild>
            <w:div w:id="802818007">
              <w:marLeft w:val="0"/>
              <w:marRight w:val="0"/>
              <w:marTop w:val="0"/>
              <w:marBottom w:val="0"/>
              <w:divBdr>
                <w:top w:val="none" w:sz="0" w:space="0" w:color="auto"/>
                <w:left w:val="none" w:sz="0" w:space="0" w:color="auto"/>
                <w:bottom w:val="none" w:sz="0" w:space="0" w:color="auto"/>
                <w:right w:val="none" w:sz="0" w:space="0" w:color="auto"/>
              </w:divBdr>
            </w:div>
          </w:divsChild>
        </w:div>
        <w:div w:id="1200242711">
          <w:marLeft w:val="0"/>
          <w:marRight w:val="0"/>
          <w:marTop w:val="0"/>
          <w:marBottom w:val="0"/>
          <w:divBdr>
            <w:top w:val="none" w:sz="0" w:space="0" w:color="auto"/>
            <w:left w:val="none" w:sz="0" w:space="0" w:color="auto"/>
            <w:bottom w:val="none" w:sz="0" w:space="0" w:color="auto"/>
            <w:right w:val="none" w:sz="0" w:space="0" w:color="auto"/>
          </w:divBdr>
          <w:divsChild>
            <w:div w:id="38675454">
              <w:marLeft w:val="0"/>
              <w:marRight w:val="0"/>
              <w:marTop w:val="0"/>
              <w:marBottom w:val="0"/>
              <w:divBdr>
                <w:top w:val="none" w:sz="0" w:space="0" w:color="auto"/>
                <w:left w:val="none" w:sz="0" w:space="0" w:color="auto"/>
                <w:bottom w:val="none" w:sz="0" w:space="0" w:color="auto"/>
                <w:right w:val="none" w:sz="0" w:space="0" w:color="auto"/>
              </w:divBdr>
            </w:div>
          </w:divsChild>
        </w:div>
        <w:div w:id="1206065204">
          <w:marLeft w:val="0"/>
          <w:marRight w:val="0"/>
          <w:marTop w:val="0"/>
          <w:marBottom w:val="0"/>
          <w:divBdr>
            <w:top w:val="none" w:sz="0" w:space="0" w:color="auto"/>
            <w:left w:val="none" w:sz="0" w:space="0" w:color="auto"/>
            <w:bottom w:val="none" w:sz="0" w:space="0" w:color="auto"/>
            <w:right w:val="none" w:sz="0" w:space="0" w:color="auto"/>
          </w:divBdr>
          <w:divsChild>
            <w:div w:id="1300037941">
              <w:marLeft w:val="0"/>
              <w:marRight w:val="0"/>
              <w:marTop w:val="0"/>
              <w:marBottom w:val="0"/>
              <w:divBdr>
                <w:top w:val="none" w:sz="0" w:space="0" w:color="auto"/>
                <w:left w:val="none" w:sz="0" w:space="0" w:color="auto"/>
                <w:bottom w:val="none" w:sz="0" w:space="0" w:color="auto"/>
                <w:right w:val="none" w:sz="0" w:space="0" w:color="auto"/>
              </w:divBdr>
            </w:div>
          </w:divsChild>
        </w:div>
        <w:div w:id="1378159054">
          <w:marLeft w:val="0"/>
          <w:marRight w:val="0"/>
          <w:marTop w:val="0"/>
          <w:marBottom w:val="0"/>
          <w:divBdr>
            <w:top w:val="none" w:sz="0" w:space="0" w:color="auto"/>
            <w:left w:val="none" w:sz="0" w:space="0" w:color="auto"/>
            <w:bottom w:val="none" w:sz="0" w:space="0" w:color="auto"/>
            <w:right w:val="none" w:sz="0" w:space="0" w:color="auto"/>
          </w:divBdr>
          <w:divsChild>
            <w:div w:id="523634567">
              <w:marLeft w:val="0"/>
              <w:marRight w:val="0"/>
              <w:marTop w:val="0"/>
              <w:marBottom w:val="0"/>
              <w:divBdr>
                <w:top w:val="none" w:sz="0" w:space="0" w:color="auto"/>
                <w:left w:val="none" w:sz="0" w:space="0" w:color="auto"/>
                <w:bottom w:val="none" w:sz="0" w:space="0" w:color="auto"/>
                <w:right w:val="none" w:sz="0" w:space="0" w:color="auto"/>
              </w:divBdr>
            </w:div>
          </w:divsChild>
        </w:div>
        <w:div w:id="1433237540">
          <w:marLeft w:val="0"/>
          <w:marRight w:val="0"/>
          <w:marTop w:val="0"/>
          <w:marBottom w:val="0"/>
          <w:divBdr>
            <w:top w:val="none" w:sz="0" w:space="0" w:color="auto"/>
            <w:left w:val="none" w:sz="0" w:space="0" w:color="auto"/>
            <w:bottom w:val="none" w:sz="0" w:space="0" w:color="auto"/>
            <w:right w:val="none" w:sz="0" w:space="0" w:color="auto"/>
          </w:divBdr>
          <w:divsChild>
            <w:div w:id="1856535436">
              <w:marLeft w:val="0"/>
              <w:marRight w:val="0"/>
              <w:marTop w:val="0"/>
              <w:marBottom w:val="0"/>
              <w:divBdr>
                <w:top w:val="none" w:sz="0" w:space="0" w:color="auto"/>
                <w:left w:val="none" w:sz="0" w:space="0" w:color="auto"/>
                <w:bottom w:val="none" w:sz="0" w:space="0" w:color="auto"/>
                <w:right w:val="none" w:sz="0" w:space="0" w:color="auto"/>
              </w:divBdr>
            </w:div>
          </w:divsChild>
        </w:div>
        <w:div w:id="1471437580">
          <w:marLeft w:val="0"/>
          <w:marRight w:val="0"/>
          <w:marTop w:val="0"/>
          <w:marBottom w:val="0"/>
          <w:divBdr>
            <w:top w:val="none" w:sz="0" w:space="0" w:color="auto"/>
            <w:left w:val="none" w:sz="0" w:space="0" w:color="auto"/>
            <w:bottom w:val="none" w:sz="0" w:space="0" w:color="auto"/>
            <w:right w:val="none" w:sz="0" w:space="0" w:color="auto"/>
          </w:divBdr>
          <w:divsChild>
            <w:div w:id="1831142526">
              <w:marLeft w:val="0"/>
              <w:marRight w:val="0"/>
              <w:marTop w:val="0"/>
              <w:marBottom w:val="0"/>
              <w:divBdr>
                <w:top w:val="none" w:sz="0" w:space="0" w:color="auto"/>
                <w:left w:val="none" w:sz="0" w:space="0" w:color="auto"/>
                <w:bottom w:val="none" w:sz="0" w:space="0" w:color="auto"/>
                <w:right w:val="none" w:sz="0" w:space="0" w:color="auto"/>
              </w:divBdr>
            </w:div>
          </w:divsChild>
        </w:div>
        <w:div w:id="1478258719">
          <w:marLeft w:val="0"/>
          <w:marRight w:val="0"/>
          <w:marTop w:val="0"/>
          <w:marBottom w:val="0"/>
          <w:divBdr>
            <w:top w:val="none" w:sz="0" w:space="0" w:color="auto"/>
            <w:left w:val="none" w:sz="0" w:space="0" w:color="auto"/>
            <w:bottom w:val="none" w:sz="0" w:space="0" w:color="auto"/>
            <w:right w:val="none" w:sz="0" w:space="0" w:color="auto"/>
          </w:divBdr>
          <w:divsChild>
            <w:div w:id="1930652331">
              <w:marLeft w:val="0"/>
              <w:marRight w:val="0"/>
              <w:marTop w:val="0"/>
              <w:marBottom w:val="0"/>
              <w:divBdr>
                <w:top w:val="none" w:sz="0" w:space="0" w:color="auto"/>
                <w:left w:val="none" w:sz="0" w:space="0" w:color="auto"/>
                <w:bottom w:val="none" w:sz="0" w:space="0" w:color="auto"/>
                <w:right w:val="none" w:sz="0" w:space="0" w:color="auto"/>
              </w:divBdr>
            </w:div>
          </w:divsChild>
        </w:div>
        <w:div w:id="1512449359">
          <w:marLeft w:val="0"/>
          <w:marRight w:val="0"/>
          <w:marTop w:val="0"/>
          <w:marBottom w:val="0"/>
          <w:divBdr>
            <w:top w:val="none" w:sz="0" w:space="0" w:color="auto"/>
            <w:left w:val="none" w:sz="0" w:space="0" w:color="auto"/>
            <w:bottom w:val="none" w:sz="0" w:space="0" w:color="auto"/>
            <w:right w:val="none" w:sz="0" w:space="0" w:color="auto"/>
          </w:divBdr>
          <w:divsChild>
            <w:div w:id="1879582908">
              <w:marLeft w:val="0"/>
              <w:marRight w:val="0"/>
              <w:marTop w:val="0"/>
              <w:marBottom w:val="0"/>
              <w:divBdr>
                <w:top w:val="none" w:sz="0" w:space="0" w:color="auto"/>
                <w:left w:val="none" w:sz="0" w:space="0" w:color="auto"/>
                <w:bottom w:val="none" w:sz="0" w:space="0" w:color="auto"/>
                <w:right w:val="none" w:sz="0" w:space="0" w:color="auto"/>
              </w:divBdr>
            </w:div>
          </w:divsChild>
        </w:div>
        <w:div w:id="1549998155">
          <w:marLeft w:val="0"/>
          <w:marRight w:val="0"/>
          <w:marTop w:val="0"/>
          <w:marBottom w:val="0"/>
          <w:divBdr>
            <w:top w:val="none" w:sz="0" w:space="0" w:color="auto"/>
            <w:left w:val="none" w:sz="0" w:space="0" w:color="auto"/>
            <w:bottom w:val="none" w:sz="0" w:space="0" w:color="auto"/>
            <w:right w:val="none" w:sz="0" w:space="0" w:color="auto"/>
          </w:divBdr>
          <w:divsChild>
            <w:div w:id="737435654">
              <w:marLeft w:val="0"/>
              <w:marRight w:val="0"/>
              <w:marTop w:val="0"/>
              <w:marBottom w:val="0"/>
              <w:divBdr>
                <w:top w:val="none" w:sz="0" w:space="0" w:color="auto"/>
                <w:left w:val="none" w:sz="0" w:space="0" w:color="auto"/>
                <w:bottom w:val="none" w:sz="0" w:space="0" w:color="auto"/>
                <w:right w:val="none" w:sz="0" w:space="0" w:color="auto"/>
              </w:divBdr>
            </w:div>
            <w:div w:id="749162639">
              <w:marLeft w:val="0"/>
              <w:marRight w:val="0"/>
              <w:marTop w:val="0"/>
              <w:marBottom w:val="0"/>
              <w:divBdr>
                <w:top w:val="none" w:sz="0" w:space="0" w:color="auto"/>
                <w:left w:val="none" w:sz="0" w:space="0" w:color="auto"/>
                <w:bottom w:val="none" w:sz="0" w:space="0" w:color="auto"/>
                <w:right w:val="none" w:sz="0" w:space="0" w:color="auto"/>
              </w:divBdr>
            </w:div>
          </w:divsChild>
        </w:div>
        <w:div w:id="1591936528">
          <w:marLeft w:val="0"/>
          <w:marRight w:val="0"/>
          <w:marTop w:val="0"/>
          <w:marBottom w:val="0"/>
          <w:divBdr>
            <w:top w:val="none" w:sz="0" w:space="0" w:color="auto"/>
            <w:left w:val="none" w:sz="0" w:space="0" w:color="auto"/>
            <w:bottom w:val="none" w:sz="0" w:space="0" w:color="auto"/>
            <w:right w:val="none" w:sz="0" w:space="0" w:color="auto"/>
          </w:divBdr>
          <w:divsChild>
            <w:div w:id="1758136556">
              <w:marLeft w:val="0"/>
              <w:marRight w:val="0"/>
              <w:marTop w:val="0"/>
              <w:marBottom w:val="0"/>
              <w:divBdr>
                <w:top w:val="none" w:sz="0" w:space="0" w:color="auto"/>
                <w:left w:val="none" w:sz="0" w:space="0" w:color="auto"/>
                <w:bottom w:val="none" w:sz="0" w:space="0" w:color="auto"/>
                <w:right w:val="none" w:sz="0" w:space="0" w:color="auto"/>
              </w:divBdr>
            </w:div>
          </w:divsChild>
        </w:div>
        <w:div w:id="1611548069">
          <w:marLeft w:val="0"/>
          <w:marRight w:val="0"/>
          <w:marTop w:val="0"/>
          <w:marBottom w:val="0"/>
          <w:divBdr>
            <w:top w:val="none" w:sz="0" w:space="0" w:color="auto"/>
            <w:left w:val="none" w:sz="0" w:space="0" w:color="auto"/>
            <w:bottom w:val="none" w:sz="0" w:space="0" w:color="auto"/>
            <w:right w:val="none" w:sz="0" w:space="0" w:color="auto"/>
          </w:divBdr>
          <w:divsChild>
            <w:div w:id="660931750">
              <w:marLeft w:val="0"/>
              <w:marRight w:val="0"/>
              <w:marTop w:val="0"/>
              <w:marBottom w:val="0"/>
              <w:divBdr>
                <w:top w:val="none" w:sz="0" w:space="0" w:color="auto"/>
                <w:left w:val="none" w:sz="0" w:space="0" w:color="auto"/>
                <w:bottom w:val="none" w:sz="0" w:space="0" w:color="auto"/>
                <w:right w:val="none" w:sz="0" w:space="0" w:color="auto"/>
              </w:divBdr>
            </w:div>
          </w:divsChild>
        </w:div>
        <w:div w:id="1625578064">
          <w:marLeft w:val="0"/>
          <w:marRight w:val="0"/>
          <w:marTop w:val="0"/>
          <w:marBottom w:val="0"/>
          <w:divBdr>
            <w:top w:val="none" w:sz="0" w:space="0" w:color="auto"/>
            <w:left w:val="none" w:sz="0" w:space="0" w:color="auto"/>
            <w:bottom w:val="none" w:sz="0" w:space="0" w:color="auto"/>
            <w:right w:val="none" w:sz="0" w:space="0" w:color="auto"/>
          </w:divBdr>
          <w:divsChild>
            <w:div w:id="652755068">
              <w:marLeft w:val="0"/>
              <w:marRight w:val="0"/>
              <w:marTop w:val="0"/>
              <w:marBottom w:val="0"/>
              <w:divBdr>
                <w:top w:val="none" w:sz="0" w:space="0" w:color="auto"/>
                <w:left w:val="none" w:sz="0" w:space="0" w:color="auto"/>
                <w:bottom w:val="none" w:sz="0" w:space="0" w:color="auto"/>
                <w:right w:val="none" w:sz="0" w:space="0" w:color="auto"/>
              </w:divBdr>
            </w:div>
          </w:divsChild>
        </w:div>
        <w:div w:id="1661887899">
          <w:marLeft w:val="0"/>
          <w:marRight w:val="0"/>
          <w:marTop w:val="0"/>
          <w:marBottom w:val="0"/>
          <w:divBdr>
            <w:top w:val="none" w:sz="0" w:space="0" w:color="auto"/>
            <w:left w:val="none" w:sz="0" w:space="0" w:color="auto"/>
            <w:bottom w:val="none" w:sz="0" w:space="0" w:color="auto"/>
            <w:right w:val="none" w:sz="0" w:space="0" w:color="auto"/>
          </w:divBdr>
          <w:divsChild>
            <w:div w:id="1867015608">
              <w:marLeft w:val="0"/>
              <w:marRight w:val="0"/>
              <w:marTop w:val="0"/>
              <w:marBottom w:val="0"/>
              <w:divBdr>
                <w:top w:val="none" w:sz="0" w:space="0" w:color="auto"/>
                <w:left w:val="none" w:sz="0" w:space="0" w:color="auto"/>
                <w:bottom w:val="none" w:sz="0" w:space="0" w:color="auto"/>
                <w:right w:val="none" w:sz="0" w:space="0" w:color="auto"/>
              </w:divBdr>
            </w:div>
          </w:divsChild>
        </w:div>
        <w:div w:id="1683162791">
          <w:marLeft w:val="0"/>
          <w:marRight w:val="0"/>
          <w:marTop w:val="0"/>
          <w:marBottom w:val="0"/>
          <w:divBdr>
            <w:top w:val="none" w:sz="0" w:space="0" w:color="auto"/>
            <w:left w:val="none" w:sz="0" w:space="0" w:color="auto"/>
            <w:bottom w:val="none" w:sz="0" w:space="0" w:color="auto"/>
            <w:right w:val="none" w:sz="0" w:space="0" w:color="auto"/>
          </w:divBdr>
          <w:divsChild>
            <w:div w:id="819082216">
              <w:marLeft w:val="0"/>
              <w:marRight w:val="0"/>
              <w:marTop w:val="0"/>
              <w:marBottom w:val="0"/>
              <w:divBdr>
                <w:top w:val="none" w:sz="0" w:space="0" w:color="auto"/>
                <w:left w:val="none" w:sz="0" w:space="0" w:color="auto"/>
                <w:bottom w:val="none" w:sz="0" w:space="0" w:color="auto"/>
                <w:right w:val="none" w:sz="0" w:space="0" w:color="auto"/>
              </w:divBdr>
            </w:div>
          </w:divsChild>
        </w:div>
        <w:div w:id="1684895511">
          <w:marLeft w:val="0"/>
          <w:marRight w:val="0"/>
          <w:marTop w:val="0"/>
          <w:marBottom w:val="0"/>
          <w:divBdr>
            <w:top w:val="none" w:sz="0" w:space="0" w:color="auto"/>
            <w:left w:val="none" w:sz="0" w:space="0" w:color="auto"/>
            <w:bottom w:val="none" w:sz="0" w:space="0" w:color="auto"/>
            <w:right w:val="none" w:sz="0" w:space="0" w:color="auto"/>
          </w:divBdr>
          <w:divsChild>
            <w:div w:id="2135831044">
              <w:marLeft w:val="0"/>
              <w:marRight w:val="0"/>
              <w:marTop w:val="0"/>
              <w:marBottom w:val="0"/>
              <w:divBdr>
                <w:top w:val="none" w:sz="0" w:space="0" w:color="auto"/>
                <w:left w:val="none" w:sz="0" w:space="0" w:color="auto"/>
                <w:bottom w:val="none" w:sz="0" w:space="0" w:color="auto"/>
                <w:right w:val="none" w:sz="0" w:space="0" w:color="auto"/>
              </w:divBdr>
            </w:div>
          </w:divsChild>
        </w:div>
        <w:div w:id="1794202964">
          <w:marLeft w:val="0"/>
          <w:marRight w:val="0"/>
          <w:marTop w:val="0"/>
          <w:marBottom w:val="0"/>
          <w:divBdr>
            <w:top w:val="none" w:sz="0" w:space="0" w:color="auto"/>
            <w:left w:val="none" w:sz="0" w:space="0" w:color="auto"/>
            <w:bottom w:val="none" w:sz="0" w:space="0" w:color="auto"/>
            <w:right w:val="none" w:sz="0" w:space="0" w:color="auto"/>
          </w:divBdr>
          <w:divsChild>
            <w:div w:id="1214854988">
              <w:marLeft w:val="0"/>
              <w:marRight w:val="0"/>
              <w:marTop w:val="0"/>
              <w:marBottom w:val="0"/>
              <w:divBdr>
                <w:top w:val="none" w:sz="0" w:space="0" w:color="auto"/>
                <w:left w:val="none" w:sz="0" w:space="0" w:color="auto"/>
                <w:bottom w:val="none" w:sz="0" w:space="0" w:color="auto"/>
                <w:right w:val="none" w:sz="0" w:space="0" w:color="auto"/>
              </w:divBdr>
            </w:div>
          </w:divsChild>
        </w:div>
        <w:div w:id="1852914516">
          <w:marLeft w:val="0"/>
          <w:marRight w:val="0"/>
          <w:marTop w:val="0"/>
          <w:marBottom w:val="0"/>
          <w:divBdr>
            <w:top w:val="none" w:sz="0" w:space="0" w:color="auto"/>
            <w:left w:val="none" w:sz="0" w:space="0" w:color="auto"/>
            <w:bottom w:val="none" w:sz="0" w:space="0" w:color="auto"/>
            <w:right w:val="none" w:sz="0" w:space="0" w:color="auto"/>
          </w:divBdr>
          <w:divsChild>
            <w:div w:id="1687440018">
              <w:marLeft w:val="0"/>
              <w:marRight w:val="0"/>
              <w:marTop w:val="0"/>
              <w:marBottom w:val="0"/>
              <w:divBdr>
                <w:top w:val="none" w:sz="0" w:space="0" w:color="auto"/>
                <w:left w:val="none" w:sz="0" w:space="0" w:color="auto"/>
                <w:bottom w:val="none" w:sz="0" w:space="0" w:color="auto"/>
                <w:right w:val="none" w:sz="0" w:space="0" w:color="auto"/>
              </w:divBdr>
            </w:div>
          </w:divsChild>
        </w:div>
        <w:div w:id="1861626354">
          <w:marLeft w:val="0"/>
          <w:marRight w:val="0"/>
          <w:marTop w:val="0"/>
          <w:marBottom w:val="0"/>
          <w:divBdr>
            <w:top w:val="none" w:sz="0" w:space="0" w:color="auto"/>
            <w:left w:val="none" w:sz="0" w:space="0" w:color="auto"/>
            <w:bottom w:val="none" w:sz="0" w:space="0" w:color="auto"/>
            <w:right w:val="none" w:sz="0" w:space="0" w:color="auto"/>
          </w:divBdr>
          <w:divsChild>
            <w:div w:id="1176336472">
              <w:marLeft w:val="0"/>
              <w:marRight w:val="0"/>
              <w:marTop w:val="0"/>
              <w:marBottom w:val="0"/>
              <w:divBdr>
                <w:top w:val="none" w:sz="0" w:space="0" w:color="auto"/>
                <w:left w:val="none" w:sz="0" w:space="0" w:color="auto"/>
                <w:bottom w:val="none" w:sz="0" w:space="0" w:color="auto"/>
                <w:right w:val="none" w:sz="0" w:space="0" w:color="auto"/>
              </w:divBdr>
            </w:div>
          </w:divsChild>
        </w:div>
        <w:div w:id="1904179116">
          <w:marLeft w:val="0"/>
          <w:marRight w:val="0"/>
          <w:marTop w:val="0"/>
          <w:marBottom w:val="0"/>
          <w:divBdr>
            <w:top w:val="none" w:sz="0" w:space="0" w:color="auto"/>
            <w:left w:val="none" w:sz="0" w:space="0" w:color="auto"/>
            <w:bottom w:val="none" w:sz="0" w:space="0" w:color="auto"/>
            <w:right w:val="none" w:sz="0" w:space="0" w:color="auto"/>
          </w:divBdr>
          <w:divsChild>
            <w:div w:id="1656377289">
              <w:marLeft w:val="0"/>
              <w:marRight w:val="0"/>
              <w:marTop w:val="0"/>
              <w:marBottom w:val="0"/>
              <w:divBdr>
                <w:top w:val="none" w:sz="0" w:space="0" w:color="auto"/>
                <w:left w:val="none" w:sz="0" w:space="0" w:color="auto"/>
                <w:bottom w:val="none" w:sz="0" w:space="0" w:color="auto"/>
                <w:right w:val="none" w:sz="0" w:space="0" w:color="auto"/>
              </w:divBdr>
            </w:div>
          </w:divsChild>
        </w:div>
        <w:div w:id="1909850468">
          <w:marLeft w:val="0"/>
          <w:marRight w:val="0"/>
          <w:marTop w:val="0"/>
          <w:marBottom w:val="0"/>
          <w:divBdr>
            <w:top w:val="none" w:sz="0" w:space="0" w:color="auto"/>
            <w:left w:val="none" w:sz="0" w:space="0" w:color="auto"/>
            <w:bottom w:val="none" w:sz="0" w:space="0" w:color="auto"/>
            <w:right w:val="none" w:sz="0" w:space="0" w:color="auto"/>
          </w:divBdr>
          <w:divsChild>
            <w:div w:id="317877936">
              <w:marLeft w:val="0"/>
              <w:marRight w:val="0"/>
              <w:marTop w:val="0"/>
              <w:marBottom w:val="0"/>
              <w:divBdr>
                <w:top w:val="none" w:sz="0" w:space="0" w:color="auto"/>
                <w:left w:val="none" w:sz="0" w:space="0" w:color="auto"/>
                <w:bottom w:val="none" w:sz="0" w:space="0" w:color="auto"/>
                <w:right w:val="none" w:sz="0" w:space="0" w:color="auto"/>
              </w:divBdr>
            </w:div>
          </w:divsChild>
        </w:div>
        <w:div w:id="1971082763">
          <w:marLeft w:val="0"/>
          <w:marRight w:val="0"/>
          <w:marTop w:val="0"/>
          <w:marBottom w:val="0"/>
          <w:divBdr>
            <w:top w:val="none" w:sz="0" w:space="0" w:color="auto"/>
            <w:left w:val="none" w:sz="0" w:space="0" w:color="auto"/>
            <w:bottom w:val="none" w:sz="0" w:space="0" w:color="auto"/>
            <w:right w:val="none" w:sz="0" w:space="0" w:color="auto"/>
          </w:divBdr>
          <w:divsChild>
            <w:div w:id="902956809">
              <w:marLeft w:val="0"/>
              <w:marRight w:val="0"/>
              <w:marTop w:val="0"/>
              <w:marBottom w:val="0"/>
              <w:divBdr>
                <w:top w:val="none" w:sz="0" w:space="0" w:color="auto"/>
                <w:left w:val="none" w:sz="0" w:space="0" w:color="auto"/>
                <w:bottom w:val="none" w:sz="0" w:space="0" w:color="auto"/>
                <w:right w:val="none" w:sz="0" w:space="0" w:color="auto"/>
              </w:divBdr>
            </w:div>
          </w:divsChild>
        </w:div>
        <w:div w:id="1991475182">
          <w:marLeft w:val="0"/>
          <w:marRight w:val="0"/>
          <w:marTop w:val="0"/>
          <w:marBottom w:val="0"/>
          <w:divBdr>
            <w:top w:val="none" w:sz="0" w:space="0" w:color="auto"/>
            <w:left w:val="none" w:sz="0" w:space="0" w:color="auto"/>
            <w:bottom w:val="none" w:sz="0" w:space="0" w:color="auto"/>
            <w:right w:val="none" w:sz="0" w:space="0" w:color="auto"/>
          </w:divBdr>
          <w:divsChild>
            <w:div w:id="1045524814">
              <w:marLeft w:val="0"/>
              <w:marRight w:val="0"/>
              <w:marTop w:val="0"/>
              <w:marBottom w:val="0"/>
              <w:divBdr>
                <w:top w:val="none" w:sz="0" w:space="0" w:color="auto"/>
                <w:left w:val="none" w:sz="0" w:space="0" w:color="auto"/>
                <w:bottom w:val="none" w:sz="0" w:space="0" w:color="auto"/>
                <w:right w:val="none" w:sz="0" w:space="0" w:color="auto"/>
              </w:divBdr>
            </w:div>
          </w:divsChild>
        </w:div>
        <w:div w:id="2002541299">
          <w:marLeft w:val="0"/>
          <w:marRight w:val="0"/>
          <w:marTop w:val="0"/>
          <w:marBottom w:val="0"/>
          <w:divBdr>
            <w:top w:val="none" w:sz="0" w:space="0" w:color="auto"/>
            <w:left w:val="none" w:sz="0" w:space="0" w:color="auto"/>
            <w:bottom w:val="none" w:sz="0" w:space="0" w:color="auto"/>
            <w:right w:val="none" w:sz="0" w:space="0" w:color="auto"/>
          </w:divBdr>
          <w:divsChild>
            <w:div w:id="860164003">
              <w:marLeft w:val="0"/>
              <w:marRight w:val="0"/>
              <w:marTop w:val="0"/>
              <w:marBottom w:val="0"/>
              <w:divBdr>
                <w:top w:val="none" w:sz="0" w:space="0" w:color="auto"/>
                <w:left w:val="none" w:sz="0" w:space="0" w:color="auto"/>
                <w:bottom w:val="none" w:sz="0" w:space="0" w:color="auto"/>
                <w:right w:val="none" w:sz="0" w:space="0" w:color="auto"/>
              </w:divBdr>
            </w:div>
          </w:divsChild>
        </w:div>
        <w:div w:id="2009557823">
          <w:marLeft w:val="0"/>
          <w:marRight w:val="0"/>
          <w:marTop w:val="0"/>
          <w:marBottom w:val="0"/>
          <w:divBdr>
            <w:top w:val="none" w:sz="0" w:space="0" w:color="auto"/>
            <w:left w:val="none" w:sz="0" w:space="0" w:color="auto"/>
            <w:bottom w:val="none" w:sz="0" w:space="0" w:color="auto"/>
            <w:right w:val="none" w:sz="0" w:space="0" w:color="auto"/>
          </w:divBdr>
          <w:divsChild>
            <w:div w:id="422067748">
              <w:marLeft w:val="0"/>
              <w:marRight w:val="0"/>
              <w:marTop w:val="0"/>
              <w:marBottom w:val="0"/>
              <w:divBdr>
                <w:top w:val="none" w:sz="0" w:space="0" w:color="auto"/>
                <w:left w:val="none" w:sz="0" w:space="0" w:color="auto"/>
                <w:bottom w:val="none" w:sz="0" w:space="0" w:color="auto"/>
                <w:right w:val="none" w:sz="0" w:space="0" w:color="auto"/>
              </w:divBdr>
            </w:div>
          </w:divsChild>
        </w:div>
        <w:div w:id="2060470172">
          <w:marLeft w:val="0"/>
          <w:marRight w:val="0"/>
          <w:marTop w:val="0"/>
          <w:marBottom w:val="0"/>
          <w:divBdr>
            <w:top w:val="none" w:sz="0" w:space="0" w:color="auto"/>
            <w:left w:val="none" w:sz="0" w:space="0" w:color="auto"/>
            <w:bottom w:val="none" w:sz="0" w:space="0" w:color="auto"/>
            <w:right w:val="none" w:sz="0" w:space="0" w:color="auto"/>
          </w:divBdr>
          <w:divsChild>
            <w:div w:id="1796606029">
              <w:marLeft w:val="0"/>
              <w:marRight w:val="0"/>
              <w:marTop w:val="0"/>
              <w:marBottom w:val="0"/>
              <w:divBdr>
                <w:top w:val="none" w:sz="0" w:space="0" w:color="auto"/>
                <w:left w:val="none" w:sz="0" w:space="0" w:color="auto"/>
                <w:bottom w:val="none" w:sz="0" w:space="0" w:color="auto"/>
                <w:right w:val="none" w:sz="0" w:space="0" w:color="auto"/>
              </w:divBdr>
            </w:div>
          </w:divsChild>
        </w:div>
        <w:div w:id="2086031330">
          <w:marLeft w:val="0"/>
          <w:marRight w:val="0"/>
          <w:marTop w:val="0"/>
          <w:marBottom w:val="0"/>
          <w:divBdr>
            <w:top w:val="none" w:sz="0" w:space="0" w:color="auto"/>
            <w:left w:val="none" w:sz="0" w:space="0" w:color="auto"/>
            <w:bottom w:val="none" w:sz="0" w:space="0" w:color="auto"/>
            <w:right w:val="none" w:sz="0" w:space="0" w:color="auto"/>
          </w:divBdr>
          <w:divsChild>
            <w:div w:id="515850528">
              <w:marLeft w:val="0"/>
              <w:marRight w:val="0"/>
              <w:marTop w:val="0"/>
              <w:marBottom w:val="0"/>
              <w:divBdr>
                <w:top w:val="none" w:sz="0" w:space="0" w:color="auto"/>
                <w:left w:val="none" w:sz="0" w:space="0" w:color="auto"/>
                <w:bottom w:val="none" w:sz="0" w:space="0" w:color="auto"/>
                <w:right w:val="none" w:sz="0" w:space="0" w:color="auto"/>
              </w:divBdr>
            </w:div>
          </w:divsChild>
        </w:div>
        <w:div w:id="2088184713">
          <w:marLeft w:val="0"/>
          <w:marRight w:val="0"/>
          <w:marTop w:val="0"/>
          <w:marBottom w:val="0"/>
          <w:divBdr>
            <w:top w:val="none" w:sz="0" w:space="0" w:color="auto"/>
            <w:left w:val="none" w:sz="0" w:space="0" w:color="auto"/>
            <w:bottom w:val="none" w:sz="0" w:space="0" w:color="auto"/>
            <w:right w:val="none" w:sz="0" w:space="0" w:color="auto"/>
          </w:divBdr>
          <w:divsChild>
            <w:div w:id="2121143617">
              <w:marLeft w:val="0"/>
              <w:marRight w:val="0"/>
              <w:marTop w:val="0"/>
              <w:marBottom w:val="0"/>
              <w:divBdr>
                <w:top w:val="none" w:sz="0" w:space="0" w:color="auto"/>
                <w:left w:val="none" w:sz="0" w:space="0" w:color="auto"/>
                <w:bottom w:val="none" w:sz="0" w:space="0" w:color="auto"/>
                <w:right w:val="none" w:sz="0" w:space="0" w:color="auto"/>
              </w:divBdr>
            </w:div>
          </w:divsChild>
        </w:div>
        <w:div w:id="2094471831">
          <w:marLeft w:val="0"/>
          <w:marRight w:val="0"/>
          <w:marTop w:val="0"/>
          <w:marBottom w:val="0"/>
          <w:divBdr>
            <w:top w:val="none" w:sz="0" w:space="0" w:color="auto"/>
            <w:left w:val="none" w:sz="0" w:space="0" w:color="auto"/>
            <w:bottom w:val="none" w:sz="0" w:space="0" w:color="auto"/>
            <w:right w:val="none" w:sz="0" w:space="0" w:color="auto"/>
          </w:divBdr>
          <w:divsChild>
            <w:div w:id="2133204223">
              <w:marLeft w:val="0"/>
              <w:marRight w:val="0"/>
              <w:marTop w:val="0"/>
              <w:marBottom w:val="0"/>
              <w:divBdr>
                <w:top w:val="none" w:sz="0" w:space="0" w:color="auto"/>
                <w:left w:val="none" w:sz="0" w:space="0" w:color="auto"/>
                <w:bottom w:val="none" w:sz="0" w:space="0" w:color="auto"/>
                <w:right w:val="none" w:sz="0" w:space="0" w:color="auto"/>
              </w:divBdr>
            </w:div>
          </w:divsChild>
        </w:div>
        <w:div w:id="2106346171">
          <w:marLeft w:val="0"/>
          <w:marRight w:val="0"/>
          <w:marTop w:val="0"/>
          <w:marBottom w:val="0"/>
          <w:divBdr>
            <w:top w:val="none" w:sz="0" w:space="0" w:color="auto"/>
            <w:left w:val="none" w:sz="0" w:space="0" w:color="auto"/>
            <w:bottom w:val="none" w:sz="0" w:space="0" w:color="auto"/>
            <w:right w:val="none" w:sz="0" w:space="0" w:color="auto"/>
          </w:divBdr>
          <w:divsChild>
            <w:div w:id="1095054943">
              <w:marLeft w:val="0"/>
              <w:marRight w:val="0"/>
              <w:marTop w:val="0"/>
              <w:marBottom w:val="0"/>
              <w:divBdr>
                <w:top w:val="none" w:sz="0" w:space="0" w:color="auto"/>
                <w:left w:val="none" w:sz="0" w:space="0" w:color="auto"/>
                <w:bottom w:val="none" w:sz="0" w:space="0" w:color="auto"/>
                <w:right w:val="none" w:sz="0" w:space="0" w:color="auto"/>
              </w:divBdr>
            </w:div>
          </w:divsChild>
        </w:div>
        <w:div w:id="2127383001">
          <w:marLeft w:val="0"/>
          <w:marRight w:val="0"/>
          <w:marTop w:val="0"/>
          <w:marBottom w:val="0"/>
          <w:divBdr>
            <w:top w:val="none" w:sz="0" w:space="0" w:color="auto"/>
            <w:left w:val="none" w:sz="0" w:space="0" w:color="auto"/>
            <w:bottom w:val="none" w:sz="0" w:space="0" w:color="auto"/>
            <w:right w:val="none" w:sz="0" w:space="0" w:color="auto"/>
          </w:divBdr>
          <w:divsChild>
            <w:div w:id="1438719738">
              <w:marLeft w:val="0"/>
              <w:marRight w:val="0"/>
              <w:marTop w:val="0"/>
              <w:marBottom w:val="0"/>
              <w:divBdr>
                <w:top w:val="none" w:sz="0" w:space="0" w:color="auto"/>
                <w:left w:val="none" w:sz="0" w:space="0" w:color="auto"/>
                <w:bottom w:val="none" w:sz="0" w:space="0" w:color="auto"/>
                <w:right w:val="none" w:sz="0" w:space="0" w:color="auto"/>
              </w:divBdr>
            </w:div>
          </w:divsChild>
        </w:div>
        <w:div w:id="2129467570">
          <w:marLeft w:val="0"/>
          <w:marRight w:val="0"/>
          <w:marTop w:val="0"/>
          <w:marBottom w:val="0"/>
          <w:divBdr>
            <w:top w:val="none" w:sz="0" w:space="0" w:color="auto"/>
            <w:left w:val="none" w:sz="0" w:space="0" w:color="auto"/>
            <w:bottom w:val="none" w:sz="0" w:space="0" w:color="auto"/>
            <w:right w:val="none" w:sz="0" w:space="0" w:color="auto"/>
          </w:divBdr>
          <w:divsChild>
            <w:div w:id="9687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08537">
      <w:bodyDiv w:val="1"/>
      <w:marLeft w:val="0"/>
      <w:marRight w:val="0"/>
      <w:marTop w:val="0"/>
      <w:marBottom w:val="0"/>
      <w:divBdr>
        <w:top w:val="none" w:sz="0" w:space="0" w:color="auto"/>
        <w:left w:val="none" w:sz="0" w:space="0" w:color="auto"/>
        <w:bottom w:val="none" w:sz="0" w:space="0" w:color="auto"/>
        <w:right w:val="none" w:sz="0" w:space="0" w:color="auto"/>
      </w:divBdr>
      <w:divsChild>
        <w:div w:id="792675755">
          <w:marLeft w:val="0"/>
          <w:marRight w:val="0"/>
          <w:marTop w:val="0"/>
          <w:marBottom w:val="0"/>
          <w:divBdr>
            <w:top w:val="none" w:sz="0" w:space="0" w:color="auto"/>
            <w:left w:val="none" w:sz="0" w:space="0" w:color="auto"/>
            <w:bottom w:val="none" w:sz="0" w:space="0" w:color="auto"/>
            <w:right w:val="none" w:sz="0" w:space="0" w:color="auto"/>
          </w:divBdr>
        </w:div>
        <w:div w:id="864634626">
          <w:marLeft w:val="0"/>
          <w:marRight w:val="0"/>
          <w:marTop w:val="0"/>
          <w:marBottom w:val="0"/>
          <w:divBdr>
            <w:top w:val="none" w:sz="0" w:space="0" w:color="auto"/>
            <w:left w:val="none" w:sz="0" w:space="0" w:color="auto"/>
            <w:bottom w:val="none" w:sz="0" w:space="0" w:color="auto"/>
            <w:right w:val="none" w:sz="0" w:space="0" w:color="auto"/>
          </w:divBdr>
        </w:div>
      </w:divsChild>
    </w:div>
    <w:div w:id="1636911348">
      <w:bodyDiv w:val="1"/>
      <w:marLeft w:val="0"/>
      <w:marRight w:val="0"/>
      <w:marTop w:val="0"/>
      <w:marBottom w:val="0"/>
      <w:divBdr>
        <w:top w:val="none" w:sz="0" w:space="0" w:color="auto"/>
        <w:left w:val="none" w:sz="0" w:space="0" w:color="auto"/>
        <w:bottom w:val="none" w:sz="0" w:space="0" w:color="auto"/>
        <w:right w:val="none" w:sz="0" w:space="0" w:color="auto"/>
      </w:divBdr>
      <w:divsChild>
        <w:div w:id="33968042">
          <w:marLeft w:val="0"/>
          <w:marRight w:val="0"/>
          <w:marTop w:val="0"/>
          <w:marBottom w:val="0"/>
          <w:divBdr>
            <w:top w:val="none" w:sz="0" w:space="0" w:color="auto"/>
            <w:left w:val="none" w:sz="0" w:space="0" w:color="auto"/>
            <w:bottom w:val="none" w:sz="0" w:space="0" w:color="auto"/>
            <w:right w:val="none" w:sz="0" w:space="0" w:color="auto"/>
          </w:divBdr>
          <w:divsChild>
            <w:div w:id="2125928626">
              <w:marLeft w:val="0"/>
              <w:marRight w:val="0"/>
              <w:marTop w:val="0"/>
              <w:marBottom w:val="0"/>
              <w:divBdr>
                <w:top w:val="none" w:sz="0" w:space="0" w:color="auto"/>
                <w:left w:val="none" w:sz="0" w:space="0" w:color="auto"/>
                <w:bottom w:val="none" w:sz="0" w:space="0" w:color="auto"/>
                <w:right w:val="none" w:sz="0" w:space="0" w:color="auto"/>
              </w:divBdr>
            </w:div>
          </w:divsChild>
        </w:div>
        <w:div w:id="56247170">
          <w:marLeft w:val="0"/>
          <w:marRight w:val="0"/>
          <w:marTop w:val="0"/>
          <w:marBottom w:val="0"/>
          <w:divBdr>
            <w:top w:val="none" w:sz="0" w:space="0" w:color="auto"/>
            <w:left w:val="none" w:sz="0" w:space="0" w:color="auto"/>
            <w:bottom w:val="none" w:sz="0" w:space="0" w:color="auto"/>
            <w:right w:val="none" w:sz="0" w:space="0" w:color="auto"/>
          </w:divBdr>
          <w:divsChild>
            <w:div w:id="2142772092">
              <w:marLeft w:val="0"/>
              <w:marRight w:val="0"/>
              <w:marTop w:val="0"/>
              <w:marBottom w:val="0"/>
              <w:divBdr>
                <w:top w:val="none" w:sz="0" w:space="0" w:color="auto"/>
                <w:left w:val="none" w:sz="0" w:space="0" w:color="auto"/>
                <w:bottom w:val="none" w:sz="0" w:space="0" w:color="auto"/>
                <w:right w:val="none" w:sz="0" w:space="0" w:color="auto"/>
              </w:divBdr>
            </w:div>
          </w:divsChild>
        </w:div>
        <w:div w:id="76832217">
          <w:marLeft w:val="0"/>
          <w:marRight w:val="0"/>
          <w:marTop w:val="0"/>
          <w:marBottom w:val="0"/>
          <w:divBdr>
            <w:top w:val="none" w:sz="0" w:space="0" w:color="auto"/>
            <w:left w:val="none" w:sz="0" w:space="0" w:color="auto"/>
            <w:bottom w:val="none" w:sz="0" w:space="0" w:color="auto"/>
            <w:right w:val="none" w:sz="0" w:space="0" w:color="auto"/>
          </w:divBdr>
          <w:divsChild>
            <w:div w:id="748117939">
              <w:marLeft w:val="0"/>
              <w:marRight w:val="0"/>
              <w:marTop w:val="0"/>
              <w:marBottom w:val="0"/>
              <w:divBdr>
                <w:top w:val="none" w:sz="0" w:space="0" w:color="auto"/>
                <w:left w:val="none" w:sz="0" w:space="0" w:color="auto"/>
                <w:bottom w:val="none" w:sz="0" w:space="0" w:color="auto"/>
                <w:right w:val="none" w:sz="0" w:space="0" w:color="auto"/>
              </w:divBdr>
            </w:div>
          </w:divsChild>
        </w:div>
        <w:div w:id="118501939">
          <w:marLeft w:val="0"/>
          <w:marRight w:val="0"/>
          <w:marTop w:val="0"/>
          <w:marBottom w:val="0"/>
          <w:divBdr>
            <w:top w:val="none" w:sz="0" w:space="0" w:color="auto"/>
            <w:left w:val="none" w:sz="0" w:space="0" w:color="auto"/>
            <w:bottom w:val="none" w:sz="0" w:space="0" w:color="auto"/>
            <w:right w:val="none" w:sz="0" w:space="0" w:color="auto"/>
          </w:divBdr>
          <w:divsChild>
            <w:div w:id="1328896296">
              <w:marLeft w:val="0"/>
              <w:marRight w:val="0"/>
              <w:marTop w:val="0"/>
              <w:marBottom w:val="0"/>
              <w:divBdr>
                <w:top w:val="none" w:sz="0" w:space="0" w:color="auto"/>
                <w:left w:val="none" w:sz="0" w:space="0" w:color="auto"/>
                <w:bottom w:val="none" w:sz="0" w:space="0" w:color="auto"/>
                <w:right w:val="none" w:sz="0" w:space="0" w:color="auto"/>
              </w:divBdr>
            </w:div>
          </w:divsChild>
        </w:div>
        <w:div w:id="194588777">
          <w:marLeft w:val="0"/>
          <w:marRight w:val="0"/>
          <w:marTop w:val="0"/>
          <w:marBottom w:val="0"/>
          <w:divBdr>
            <w:top w:val="none" w:sz="0" w:space="0" w:color="auto"/>
            <w:left w:val="none" w:sz="0" w:space="0" w:color="auto"/>
            <w:bottom w:val="none" w:sz="0" w:space="0" w:color="auto"/>
            <w:right w:val="none" w:sz="0" w:space="0" w:color="auto"/>
          </w:divBdr>
          <w:divsChild>
            <w:div w:id="1144079862">
              <w:marLeft w:val="0"/>
              <w:marRight w:val="0"/>
              <w:marTop w:val="0"/>
              <w:marBottom w:val="0"/>
              <w:divBdr>
                <w:top w:val="none" w:sz="0" w:space="0" w:color="auto"/>
                <w:left w:val="none" w:sz="0" w:space="0" w:color="auto"/>
                <w:bottom w:val="none" w:sz="0" w:space="0" w:color="auto"/>
                <w:right w:val="none" w:sz="0" w:space="0" w:color="auto"/>
              </w:divBdr>
            </w:div>
          </w:divsChild>
        </w:div>
        <w:div w:id="204609993">
          <w:marLeft w:val="0"/>
          <w:marRight w:val="0"/>
          <w:marTop w:val="0"/>
          <w:marBottom w:val="0"/>
          <w:divBdr>
            <w:top w:val="none" w:sz="0" w:space="0" w:color="auto"/>
            <w:left w:val="none" w:sz="0" w:space="0" w:color="auto"/>
            <w:bottom w:val="none" w:sz="0" w:space="0" w:color="auto"/>
            <w:right w:val="none" w:sz="0" w:space="0" w:color="auto"/>
          </w:divBdr>
          <w:divsChild>
            <w:div w:id="1434323579">
              <w:marLeft w:val="0"/>
              <w:marRight w:val="0"/>
              <w:marTop w:val="0"/>
              <w:marBottom w:val="0"/>
              <w:divBdr>
                <w:top w:val="none" w:sz="0" w:space="0" w:color="auto"/>
                <w:left w:val="none" w:sz="0" w:space="0" w:color="auto"/>
                <w:bottom w:val="none" w:sz="0" w:space="0" w:color="auto"/>
                <w:right w:val="none" w:sz="0" w:space="0" w:color="auto"/>
              </w:divBdr>
            </w:div>
          </w:divsChild>
        </w:div>
        <w:div w:id="235939561">
          <w:marLeft w:val="0"/>
          <w:marRight w:val="0"/>
          <w:marTop w:val="0"/>
          <w:marBottom w:val="0"/>
          <w:divBdr>
            <w:top w:val="none" w:sz="0" w:space="0" w:color="auto"/>
            <w:left w:val="none" w:sz="0" w:space="0" w:color="auto"/>
            <w:bottom w:val="none" w:sz="0" w:space="0" w:color="auto"/>
            <w:right w:val="none" w:sz="0" w:space="0" w:color="auto"/>
          </w:divBdr>
          <w:divsChild>
            <w:div w:id="1625044536">
              <w:marLeft w:val="0"/>
              <w:marRight w:val="0"/>
              <w:marTop w:val="0"/>
              <w:marBottom w:val="0"/>
              <w:divBdr>
                <w:top w:val="none" w:sz="0" w:space="0" w:color="auto"/>
                <w:left w:val="none" w:sz="0" w:space="0" w:color="auto"/>
                <w:bottom w:val="none" w:sz="0" w:space="0" w:color="auto"/>
                <w:right w:val="none" w:sz="0" w:space="0" w:color="auto"/>
              </w:divBdr>
            </w:div>
          </w:divsChild>
        </w:div>
        <w:div w:id="266161079">
          <w:marLeft w:val="0"/>
          <w:marRight w:val="0"/>
          <w:marTop w:val="0"/>
          <w:marBottom w:val="0"/>
          <w:divBdr>
            <w:top w:val="none" w:sz="0" w:space="0" w:color="auto"/>
            <w:left w:val="none" w:sz="0" w:space="0" w:color="auto"/>
            <w:bottom w:val="none" w:sz="0" w:space="0" w:color="auto"/>
            <w:right w:val="none" w:sz="0" w:space="0" w:color="auto"/>
          </w:divBdr>
          <w:divsChild>
            <w:div w:id="2137064152">
              <w:marLeft w:val="0"/>
              <w:marRight w:val="0"/>
              <w:marTop w:val="0"/>
              <w:marBottom w:val="0"/>
              <w:divBdr>
                <w:top w:val="none" w:sz="0" w:space="0" w:color="auto"/>
                <w:left w:val="none" w:sz="0" w:space="0" w:color="auto"/>
                <w:bottom w:val="none" w:sz="0" w:space="0" w:color="auto"/>
                <w:right w:val="none" w:sz="0" w:space="0" w:color="auto"/>
              </w:divBdr>
            </w:div>
          </w:divsChild>
        </w:div>
        <w:div w:id="369765509">
          <w:marLeft w:val="0"/>
          <w:marRight w:val="0"/>
          <w:marTop w:val="0"/>
          <w:marBottom w:val="0"/>
          <w:divBdr>
            <w:top w:val="none" w:sz="0" w:space="0" w:color="auto"/>
            <w:left w:val="none" w:sz="0" w:space="0" w:color="auto"/>
            <w:bottom w:val="none" w:sz="0" w:space="0" w:color="auto"/>
            <w:right w:val="none" w:sz="0" w:space="0" w:color="auto"/>
          </w:divBdr>
          <w:divsChild>
            <w:div w:id="1556576412">
              <w:marLeft w:val="0"/>
              <w:marRight w:val="0"/>
              <w:marTop w:val="0"/>
              <w:marBottom w:val="0"/>
              <w:divBdr>
                <w:top w:val="none" w:sz="0" w:space="0" w:color="auto"/>
                <w:left w:val="none" w:sz="0" w:space="0" w:color="auto"/>
                <w:bottom w:val="none" w:sz="0" w:space="0" w:color="auto"/>
                <w:right w:val="none" w:sz="0" w:space="0" w:color="auto"/>
              </w:divBdr>
            </w:div>
          </w:divsChild>
        </w:div>
        <w:div w:id="393089234">
          <w:marLeft w:val="0"/>
          <w:marRight w:val="0"/>
          <w:marTop w:val="0"/>
          <w:marBottom w:val="0"/>
          <w:divBdr>
            <w:top w:val="none" w:sz="0" w:space="0" w:color="auto"/>
            <w:left w:val="none" w:sz="0" w:space="0" w:color="auto"/>
            <w:bottom w:val="none" w:sz="0" w:space="0" w:color="auto"/>
            <w:right w:val="none" w:sz="0" w:space="0" w:color="auto"/>
          </w:divBdr>
          <w:divsChild>
            <w:div w:id="1732654364">
              <w:marLeft w:val="0"/>
              <w:marRight w:val="0"/>
              <w:marTop w:val="0"/>
              <w:marBottom w:val="0"/>
              <w:divBdr>
                <w:top w:val="none" w:sz="0" w:space="0" w:color="auto"/>
                <w:left w:val="none" w:sz="0" w:space="0" w:color="auto"/>
                <w:bottom w:val="none" w:sz="0" w:space="0" w:color="auto"/>
                <w:right w:val="none" w:sz="0" w:space="0" w:color="auto"/>
              </w:divBdr>
            </w:div>
          </w:divsChild>
        </w:div>
        <w:div w:id="431508537">
          <w:marLeft w:val="0"/>
          <w:marRight w:val="0"/>
          <w:marTop w:val="0"/>
          <w:marBottom w:val="0"/>
          <w:divBdr>
            <w:top w:val="none" w:sz="0" w:space="0" w:color="auto"/>
            <w:left w:val="none" w:sz="0" w:space="0" w:color="auto"/>
            <w:bottom w:val="none" w:sz="0" w:space="0" w:color="auto"/>
            <w:right w:val="none" w:sz="0" w:space="0" w:color="auto"/>
          </w:divBdr>
          <w:divsChild>
            <w:div w:id="418404215">
              <w:marLeft w:val="0"/>
              <w:marRight w:val="0"/>
              <w:marTop w:val="0"/>
              <w:marBottom w:val="0"/>
              <w:divBdr>
                <w:top w:val="none" w:sz="0" w:space="0" w:color="auto"/>
                <w:left w:val="none" w:sz="0" w:space="0" w:color="auto"/>
                <w:bottom w:val="none" w:sz="0" w:space="0" w:color="auto"/>
                <w:right w:val="none" w:sz="0" w:space="0" w:color="auto"/>
              </w:divBdr>
            </w:div>
          </w:divsChild>
        </w:div>
        <w:div w:id="467893814">
          <w:marLeft w:val="0"/>
          <w:marRight w:val="0"/>
          <w:marTop w:val="0"/>
          <w:marBottom w:val="0"/>
          <w:divBdr>
            <w:top w:val="none" w:sz="0" w:space="0" w:color="auto"/>
            <w:left w:val="none" w:sz="0" w:space="0" w:color="auto"/>
            <w:bottom w:val="none" w:sz="0" w:space="0" w:color="auto"/>
            <w:right w:val="none" w:sz="0" w:space="0" w:color="auto"/>
          </w:divBdr>
          <w:divsChild>
            <w:div w:id="203640444">
              <w:marLeft w:val="0"/>
              <w:marRight w:val="0"/>
              <w:marTop w:val="0"/>
              <w:marBottom w:val="0"/>
              <w:divBdr>
                <w:top w:val="none" w:sz="0" w:space="0" w:color="auto"/>
                <w:left w:val="none" w:sz="0" w:space="0" w:color="auto"/>
                <w:bottom w:val="none" w:sz="0" w:space="0" w:color="auto"/>
                <w:right w:val="none" w:sz="0" w:space="0" w:color="auto"/>
              </w:divBdr>
            </w:div>
          </w:divsChild>
        </w:div>
        <w:div w:id="496724005">
          <w:marLeft w:val="0"/>
          <w:marRight w:val="0"/>
          <w:marTop w:val="0"/>
          <w:marBottom w:val="0"/>
          <w:divBdr>
            <w:top w:val="none" w:sz="0" w:space="0" w:color="auto"/>
            <w:left w:val="none" w:sz="0" w:space="0" w:color="auto"/>
            <w:bottom w:val="none" w:sz="0" w:space="0" w:color="auto"/>
            <w:right w:val="none" w:sz="0" w:space="0" w:color="auto"/>
          </w:divBdr>
          <w:divsChild>
            <w:div w:id="1339573831">
              <w:marLeft w:val="0"/>
              <w:marRight w:val="0"/>
              <w:marTop w:val="0"/>
              <w:marBottom w:val="0"/>
              <w:divBdr>
                <w:top w:val="none" w:sz="0" w:space="0" w:color="auto"/>
                <w:left w:val="none" w:sz="0" w:space="0" w:color="auto"/>
                <w:bottom w:val="none" w:sz="0" w:space="0" w:color="auto"/>
                <w:right w:val="none" w:sz="0" w:space="0" w:color="auto"/>
              </w:divBdr>
            </w:div>
          </w:divsChild>
        </w:div>
        <w:div w:id="637952228">
          <w:marLeft w:val="0"/>
          <w:marRight w:val="0"/>
          <w:marTop w:val="0"/>
          <w:marBottom w:val="0"/>
          <w:divBdr>
            <w:top w:val="none" w:sz="0" w:space="0" w:color="auto"/>
            <w:left w:val="none" w:sz="0" w:space="0" w:color="auto"/>
            <w:bottom w:val="none" w:sz="0" w:space="0" w:color="auto"/>
            <w:right w:val="none" w:sz="0" w:space="0" w:color="auto"/>
          </w:divBdr>
          <w:divsChild>
            <w:div w:id="751657895">
              <w:marLeft w:val="0"/>
              <w:marRight w:val="0"/>
              <w:marTop w:val="0"/>
              <w:marBottom w:val="0"/>
              <w:divBdr>
                <w:top w:val="none" w:sz="0" w:space="0" w:color="auto"/>
                <w:left w:val="none" w:sz="0" w:space="0" w:color="auto"/>
                <w:bottom w:val="none" w:sz="0" w:space="0" w:color="auto"/>
                <w:right w:val="none" w:sz="0" w:space="0" w:color="auto"/>
              </w:divBdr>
            </w:div>
          </w:divsChild>
        </w:div>
        <w:div w:id="648093032">
          <w:marLeft w:val="0"/>
          <w:marRight w:val="0"/>
          <w:marTop w:val="0"/>
          <w:marBottom w:val="0"/>
          <w:divBdr>
            <w:top w:val="none" w:sz="0" w:space="0" w:color="auto"/>
            <w:left w:val="none" w:sz="0" w:space="0" w:color="auto"/>
            <w:bottom w:val="none" w:sz="0" w:space="0" w:color="auto"/>
            <w:right w:val="none" w:sz="0" w:space="0" w:color="auto"/>
          </w:divBdr>
          <w:divsChild>
            <w:div w:id="1184132982">
              <w:marLeft w:val="0"/>
              <w:marRight w:val="0"/>
              <w:marTop w:val="0"/>
              <w:marBottom w:val="0"/>
              <w:divBdr>
                <w:top w:val="none" w:sz="0" w:space="0" w:color="auto"/>
                <w:left w:val="none" w:sz="0" w:space="0" w:color="auto"/>
                <w:bottom w:val="none" w:sz="0" w:space="0" w:color="auto"/>
                <w:right w:val="none" w:sz="0" w:space="0" w:color="auto"/>
              </w:divBdr>
            </w:div>
          </w:divsChild>
        </w:div>
        <w:div w:id="679433627">
          <w:marLeft w:val="0"/>
          <w:marRight w:val="0"/>
          <w:marTop w:val="0"/>
          <w:marBottom w:val="0"/>
          <w:divBdr>
            <w:top w:val="none" w:sz="0" w:space="0" w:color="auto"/>
            <w:left w:val="none" w:sz="0" w:space="0" w:color="auto"/>
            <w:bottom w:val="none" w:sz="0" w:space="0" w:color="auto"/>
            <w:right w:val="none" w:sz="0" w:space="0" w:color="auto"/>
          </w:divBdr>
          <w:divsChild>
            <w:div w:id="447119256">
              <w:marLeft w:val="0"/>
              <w:marRight w:val="0"/>
              <w:marTop w:val="0"/>
              <w:marBottom w:val="0"/>
              <w:divBdr>
                <w:top w:val="none" w:sz="0" w:space="0" w:color="auto"/>
                <w:left w:val="none" w:sz="0" w:space="0" w:color="auto"/>
                <w:bottom w:val="none" w:sz="0" w:space="0" w:color="auto"/>
                <w:right w:val="none" w:sz="0" w:space="0" w:color="auto"/>
              </w:divBdr>
            </w:div>
          </w:divsChild>
        </w:div>
        <w:div w:id="690684599">
          <w:marLeft w:val="0"/>
          <w:marRight w:val="0"/>
          <w:marTop w:val="0"/>
          <w:marBottom w:val="0"/>
          <w:divBdr>
            <w:top w:val="none" w:sz="0" w:space="0" w:color="auto"/>
            <w:left w:val="none" w:sz="0" w:space="0" w:color="auto"/>
            <w:bottom w:val="none" w:sz="0" w:space="0" w:color="auto"/>
            <w:right w:val="none" w:sz="0" w:space="0" w:color="auto"/>
          </w:divBdr>
          <w:divsChild>
            <w:div w:id="222327093">
              <w:marLeft w:val="0"/>
              <w:marRight w:val="0"/>
              <w:marTop w:val="0"/>
              <w:marBottom w:val="0"/>
              <w:divBdr>
                <w:top w:val="none" w:sz="0" w:space="0" w:color="auto"/>
                <w:left w:val="none" w:sz="0" w:space="0" w:color="auto"/>
                <w:bottom w:val="none" w:sz="0" w:space="0" w:color="auto"/>
                <w:right w:val="none" w:sz="0" w:space="0" w:color="auto"/>
              </w:divBdr>
            </w:div>
          </w:divsChild>
        </w:div>
        <w:div w:id="712583368">
          <w:marLeft w:val="0"/>
          <w:marRight w:val="0"/>
          <w:marTop w:val="0"/>
          <w:marBottom w:val="0"/>
          <w:divBdr>
            <w:top w:val="none" w:sz="0" w:space="0" w:color="auto"/>
            <w:left w:val="none" w:sz="0" w:space="0" w:color="auto"/>
            <w:bottom w:val="none" w:sz="0" w:space="0" w:color="auto"/>
            <w:right w:val="none" w:sz="0" w:space="0" w:color="auto"/>
          </w:divBdr>
          <w:divsChild>
            <w:div w:id="234559184">
              <w:marLeft w:val="0"/>
              <w:marRight w:val="0"/>
              <w:marTop w:val="0"/>
              <w:marBottom w:val="0"/>
              <w:divBdr>
                <w:top w:val="none" w:sz="0" w:space="0" w:color="auto"/>
                <w:left w:val="none" w:sz="0" w:space="0" w:color="auto"/>
                <w:bottom w:val="none" w:sz="0" w:space="0" w:color="auto"/>
                <w:right w:val="none" w:sz="0" w:space="0" w:color="auto"/>
              </w:divBdr>
            </w:div>
          </w:divsChild>
        </w:div>
        <w:div w:id="727345431">
          <w:marLeft w:val="0"/>
          <w:marRight w:val="0"/>
          <w:marTop w:val="0"/>
          <w:marBottom w:val="0"/>
          <w:divBdr>
            <w:top w:val="none" w:sz="0" w:space="0" w:color="auto"/>
            <w:left w:val="none" w:sz="0" w:space="0" w:color="auto"/>
            <w:bottom w:val="none" w:sz="0" w:space="0" w:color="auto"/>
            <w:right w:val="none" w:sz="0" w:space="0" w:color="auto"/>
          </w:divBdr>
          <w:divsChild>
            <w:div w:id="784927445">
              <w:marLeft w:val="0"/>
              <w:marRight w:val="0"/>
              <w:marTop w:val="0"/>
              <w:marBottom w:val="0"/>
              <w:divBdr>
                <w:top w:val="none" w:sz="0" w:space="0" w:color="auto"/>
                <w:left w:val="none" w:sz="0" w:space="0" w:color="auto"/>
                <w:bottom w:val="none" w:sz="0" w:space="0" w:color="auto"/>
                <w:right w:val="none" w:sz="0" w:space="0" w:color="auto"/>
              </w:divBdr>
            </w:div>
          </w:divsChild>
        </w:div>
        <w:div w:id="768310351">
          <w:marLeft w:val="0"/>
          <w:marRight w:val="0"/>
          <w:marTop w:val="0"/>
          <w:marBottom w:val="0"/>
          <w:divBdr>
            <w:top w:val="none" w:sz="0" w:space="0" w:color="auto"/>
            <w:left w:val="none" w:sz="0" w:space="0" w:color="auto"/>
            <w:bottom w:val="none" w:sz="0" w:space="0" w:color="auto"/>
            <w:right w:val="none" w:sz="0" w:space="0" w:color="auto"/>
          </w:divBdr>
          <w:divsChild>
            <w:div w:id="766274539">
              <w:marLeft w:val="0"/>
              <w:marRight w:val="0"/>
              <w:marTop w:val="0"/>
              <w:marBottom w:val="0"/>
              <w:divBdr>
                <w:top w:val="none" w:sz="0" w:space="0" w:color="auto"/>
                <w:left w:val="none" w:sz="0" w:space="0" w:color="auto"/>
                <w:bottom w:val="none" w:sz="0" w:space="0" w:color="auto"/>
                <w:right w:val="none" w:sz="0" w:space="0" w:color="auto"/>
              </w:divBdr>
            </w:div>
          </w:divsChild>
        </w:div>
        <w:div w:id="775441225">
          <w:marLeft w:val="0"/>
          <w:marRight w:val="0"/>
          <w:marTop w:val="0"/>
          <w:marBottom w:val="0"/>
          <w:divBdr>
            <w:top w:val="none" w:sz="0" w:space="0" w:color="auto"/>
            <w:left w:val="none" w:sz="0" w:space="0" w:color="auto"/>
            <w:bottom w:val="none" w:sz="0" w:space="0" w:color="auto"/>
            <w:right w:val="none" w:sz="0" w:space="0" w:color="auto"/>
          </w:divBdr>
          <w:divsChild>
            <w:div w:id="223102462">
              <w:marLeft w:val="0"/>
              <w:marRight w:val="0"/>
              <w:marTop w:val="0"/>
              <w:marBottom w:val="0"/>
              <w:divBdr>
                <w:top w:val="none" w:sz="0" w:space="0" w:color="auto"/>
                <w:left w:val="none" w:sz="0" w:space="0" w:color="auto"/>
                <w:bottom w:val="none" w:sz="0" w:space="0" w:color="auto"/>
                <w:right w:val="none" w:sz="0" w:space="0" w:color="auto"/>
              </w:divBdr>
            </w:div>
          </w:divsChild>
        </w:div>
        <w:div w:id="796722714">
          <w:marLeft w:val="0"/>
          <w:marRight w:val="0"/>
          <w:marTop w:val="0"/>
          <w:marBottom w:val="0"/>
          <w:divBdr>
            <w:top w:val="none" w:sz="0" w:space="0" w:color="auto"/>
            <w:left w:val="none" w:sz="0" w:space="0" w:color="auto"/>
            <w:bottom w:val="none" w:sz="0" w:space="0" w:color="auto"/>
            <w:right w:val="none" w:sz="0" w:space="0" w:color="auto"/>
          </w:divBdr>
          <w:divsChild>
            <w:div w:id="917983145">
              <w:marLeft w:val="0"/>
              <w:marRight w:val="0"/>
              <w:marTop w:val="0"/>
              <w:marBottom w:val="0"/>
              <w:divBdr>
                <w:top w:val="none" w:sz="0" w:space="0" w:color="auto"/>
                <w:left w:val="none" w:sz="0" w:space="0" w:color="auto"/>
                <w:bottom w:val="none" w:sz="0" w:space="0" w:color="auto"/>
                <w:right w:val="none" w:sz="0" w:space="0" w:color="auto"/>
              </w:divBdr>
            </w:div>
          </w:divsChild>
        </w:div>
        <w:div w:id="818814279">
          <w:marLeft w:val="0"/>
          <w:marRight w:val="0"/>
          <w:marTop w:val="0"/>
          <w:marBottom w:val="0"/>
          <w:divBdr>
            <w:top w:val="none" w:sz="0" w:space="0" w:color="auto"/>
            <w:left w:val="none" w:sz="0" w:space="0" w:color="auto"/>
            <w:bottom w:val="none" w:sz="0" w:space="0" w:color="auto"/>
            <w:right w:val="none" w:sz="0" w:space="0" w:color="auto"/>
          </w:divBdr>
          <w:divsChild>
            <w:div w:id="968558620">
              <w:marLeft w:val="0"/>
              <w:marRight w:val="0"/>
              <w:marTop w:val="0"/>
              <w:marBottom w:val="0"/>
              <w:divBdr>
                <w:top w:val="none" w:sz="0" w:space="0" w:color="auto"/>
                <w:left w:val="none" w:sz="0" w:space="0" w:color="auto"/>
                <w:bottom w:val="none" w:sz="0" w:space="0" w:color="auto"/>
                <w:right w:val="none" w:sz="0" w:space="0" w:color="auto"/>
              </w:divBdr>
            </w:div>
          </w:divsChild>
        </w:div>
        <w:div w:id="829447218">
          <w:marLeft w:val="0"/>
          <w:marRight w:val="0"/>
          <w:marTop w:val="0"/>
          <w:marBottom w:val="0"/>
          <w:divBdr>
            <w:top w:val="none" w:sz="0" w:space="0" w:color="auto"/>
            <w:left w:val="none" w:sz="0" w:space="0" w:color="auto"/>
            <w:bottom w:val="none" w:sz="0" w:space="0" w:color="auto"/>
            <w:right w:val="none" w:sz="0" w:space="0" w:color="auto"/>
          </w:divBdr>
          <w:divsChild>
            <w:div w:id="1844009154">
              <w:marLeft w:val="0"/>
              <w:marRight w:val="0"/>
              <w:marTop w:val="0"/>
              <w:marBottom w:val="0"/>
              <w:divBdr>
                <w:top w:val="none" w:sz="0" w:space="0" w:color="auto"/>
                <w:left w:val="none" w:sz="0" w:space="0" w:color="auto"/>
                <w:bottom w:val="none" w:sz="0" w:space="0" w:color="auto"/>
                <w:right w:val="none" w:sz="0" w:space="0" w:color="auto"/>
              </w:divBdr>
            </w:div>
          </w:divsChild>
        </w:div>
        <w:div w:id="923144144">
          <w:marLeft w:val="0"/>
          <w:marRight w:val="0"/>
          <w:marTop w:val="0"/>
          <w:marBottom w:val="0"/>
          <w:divBdr>
            <w:top w:val="none" w:sz="0" w:space="0" w:color="auto"/>
            <w:left w:val="none" w:sz="0" w:space="0" w:color="auto"/>
            <w:bottom w:val="none" w:sz="0" w:space="0" w:color="auto"/>
            <w:right w:val="none" w:sz="0" w:space="0" w:color="auto"/>
          </w:divBdr>
          <w:divsChild>
            <w:div w:id="102307129">
              <w:marLeft w:val="0"/>
              <w:marRight w:val="0"/>
              <w:marTop w:val="0"/>
              <w:marBottom w:val="0"/>
              <w:divBdr>
                <w:top w:val="none" w:sz="0" w:space="0" w:color="auto"/>
                <w:left w:val="none" w:sz="0" w:space="0" w:color="auto"/>
                <w:bottom w:val="none" w:sz="0" w:space="0" w:color="auto"/>
                <w:right w:val="none" w:sz="0" w:space="0" w:color="auto"/>
              </w:divBdr>
            </w:div>
          </w:divsChild>
        </w:div>
        <w:div w:id="924850314">
          <w:marLeft w:val="0"/>
          <w:marRight w:val="0"/>
          <w:marTop w:val="0"/>
          <w:marBottom w:val="0"/>
          <w:divBdr>
            <w:top w:val="none" w:sz="0" w:space="0" w:color="auto"/>
            <w:left w:val="none" w:sz="0" w:space="0" w:color="auto"/>
            <w:bottom w:val="none" w:sz="0" w:space="0" w:color="auto"/>
            <w:right w:val="none" w:sz="0" w:space="0" w:color="auto"/>
          </w:divBdr>
          <w:divsChild>
            <w:div w:id="900596197">
              <w:marLeft w:val="0"/>
              <w:marRight w:val="0"/>
              <w:marTop w:val="0"/>
              <w:marBottom w:val="0"/>
              <w:divBdr>
                <w:top w:val="none" w:sz="0" w:space="0" w:color="auto"/>
                <w:left w:val="none" w:sz="0" w:space="0" w:color="auto"/>
                <w:bottom w:val="none" w:sz="0" w:space="0" w:color="auto"/>
                <w:right w:val="none" w:sz="0" w:space="0" w:color="auto"/>
              </w:divBdr>
            </w:div>
          </w:divsChild>
        </w:div>
        <w:div w:id="936206400">
          <w:marLeft w:val="0"/>
          <w:marRight w:val="0"/>
          <w:marTop w:val="0"/>
          <w:marBottom w:val="0"/>
          <w:divBdr>
            <w:top w:val="none" w:sz="0" w:space="0" w:color="auto"/>
            <w:left w:val="none" w:sz="0" w:space="0" w:color="auto"/>
            <w:bottom w:val="none" w:sz="0" w:space="0" w:color="auto"/>
            <w:right w:val="none" w:sz="0" w:space="0" w:color="auto"/>
          </w:divBdr>
          <w:divsChild>
            <w:div w:id="214509956">
              <w:marLeft w:val="0"/>
              <w:marRight w:val="0"/>
              <w:marTop w:val="0"/>
              <w:marBottom w:val="0"/>
              <w:divBdr>
                <w:top w:val="none" w:sz="0" w:space="0" w:color="auto"/>
                <w:left w:val="none" w:sz="0" w:space="0" w:color="auto"/>
                <w:bottom w:val="none" w:sz="0" w:space="0" w:color="auto"/>
                <w:right w:val="none" w:sz="0" w:space="0" w:color="auto"/>
              </w:divBdr>
            </w:div>
          </w:divsChild>
        </w:div>
        <w:div w:id="1122383859">
          <w:marLeft w:val="0"/>
          <w:marRight w:val="0"/>
          <w:marTop w:val="0"/>
          <w:marBottom w:val="0"/>
          <w:divBdr>
            <w:top w:val="none" w:sz="0" w:space="0" w:color="auto"/>
            <w:left w:val="none" w:sz="0" w:space="0" w:color="auto"/>
            <w:bottom w:val="none" w:sz="0" w:space="0" w:color="auto"/>
            <w:right w:val="none" w:sz="0" w:space="0" w:color="auto"/>
          </w:divBdr>
          <w:divsChild>
            <w:div w:id="171186750">
              <w:marLeft w:val="0"/>
              <w:marRight w:val="0"/>
              <w:marTop w:val="0"/>
              <w:marBottom w:val="0"/>
              <w:divBdr>
                <w:top w:val="none" w:sz="0" w:space="0" w:color="auto"/>
                <w:left w:val="none" w:sz="0" w:space="0" w:color="auto"/>
                <w:bottom w:val="none" w:sz="0" w:space="0" w:color="auto"/>
                <w:right w:val="none" w:sz="0" w:space="0" w:color="auto"/>
              </w:divBdr>
            </w:div>
          </w:divsChild>
        </w:div>
        <w:div w:id="1161585247">
          <w:marLeft w:val="0"/>
          <w:marRight w:val="0"/>
          <w:marTop w:val="0"/>
          <w:marBottom w:val="0"/>
          <w:divBdr>
            <w:top w:val="none" w:sz="0" w:space="0" w:color="auto"/>
            <w:left w:val="none" w:sz="0" w:space="0" w:color="auto"/>
            <w:bottom w:val="none" w:sz="0" w:space="0" w:color="auto"/>
            <w:right w:val="none" w:sz="0" w:space="0" w:color="auto"/>
          </w:divBdr>
          <w:divsChild>
            <w:div w:id="1874079522">
              <w:marLeft w:val="0"/>
              <w:marRight w:val="0"/>
              <w:marTop w:val="0"/>
              <w:marBottom w:val="0"/>
              <w:divBdr>
                <w:top w:val="none" w:sz="0" w:space="0" w:color="auto"/>
                <w:left w:val="none" w:sz="0" w:space="0" w:color="auto"/>
                <w:bottom w:val="none" w:sz="0" w:space="0" w:color="auto"/>
                <w:right w:val="none" w:sz="0" w:space="0" w:color="auto"/>
              </w:divBdr>
            </w:div>
          </w:divsChild>
        </w:div>
        <w:div w:id="1164052866">
          <w:marLeft w:val="0"/>
          <w:marRight w:val="0"/>
          <w:marTop w:val="0"/>
          <w:marBottom w:val="0"/>
          <w:divBdr>
            <w:top w:val="none" w:sz="0" w:space="0" w:color="auto"/>
            <w:left w:val="none" w:sz="0" w:space="0" w:color="auto"/>
            <w:bottom w:val="none" w:sz="0" w:space="0" w:color="auto"/>
            <w:right w:val="none" w:sz="0" w:space="0" w:color="auto"/>
          </w:divBdr>
          <w:divsChild>
            <w:div w:id="2088922301">
              <w:marLeft w:val="0"/>
              <w:marRight w:val="0"/>
              <w:marTop w:val="0"/>
              <w:marBottom w:val="0"/>
              <w:divBdr>
                <w:top w:val="none" w:sz="0" w:space="0" w:color="auto"/>
                <w:left w:val="none" w:sz="0" w:space="0" w:color="auto"/>
                <w:bottom w:val="none" w:sz="0" w:space="0" w:color="auto"/>
                <w:right w:val="none" w:sz="0" w:space="0" w:color="auto"/>
              </w:divBdr>
            </w:div>
          </w:divsChild>
        </w:div>
        <w:div w:id="1190217123">
          <w:marLeft w:val="0"/>
          <w:marRight w:val="0"/>
          <w:marTop w:val="0"/>
          <w:marBottom w:val="0"/>
          <w:divBdr>
            <w:top w:val="none" w:sz="0" w:space="0" w:color="auto"/>
            <w:left w:val="none" w:sz="0" w:space="0" w:color="auto"/>
            <w:bottom w:val="none" w:sz="0" w:space="0" w:color="auto"/>
            <w:right w:val="none" w:sz="0" w:space="0" w:color="auto"/>
          </w:divBdr>
          <w:divsChild>
            <w:div w:id="1952542633">
              <w:marLeft w:val="0"/>
              <w:marRight w:val="0"/>
              <w:marTop w:val="0"/>
              <w:marBottom w:val="0"/>
              <w:divBdr>
                <w:top w:val="none" w:sz="0" w:space="0" w:color="auto"/>
                <w:left w:val="none" w:sz="0" w:space="0" w:color="auto"/>
                <w:bottom w:val="none" w:sz="0" w:space="0" w:color="auto"/>
                <w:right w:val="none" w:sz="0" w:space="0" w:color="auto"/>
              </w:divBdr>
            </w:div>
          </w:divsChild>
        </w:div>
        <w:div w:id="1200775493">
          <w:marLeft w:val="0"/>
          <w:marRight w:val="0"/>
          <w:marTop w:val="0"/>
          <w:marBottom w:val="0"/>
          <w:divBdr>
            <w:top w:val="none" w:sz="0" w:space="0" w:color="auto"/>
            <w:left w:val="none" w:sz="0" w:space="0" w:color="auto"/>
            <w:bottom w:val="none" w:sz="0" w:space="0" w:color="auto"/>
            <w:right w:val="none" w:sz="0" w:space="0" w:color="auto"/>
          </w:divBdr>
          <w:divsChild>
            <w:div w:id="1649747188">
              <w:marLeft w:val="0"/>
              <w:marRight w:val="0"/>
              <w:marTop w:val="0"/>
              <w:marBottom w:val="0"/>
              <w:divBdr>
                <w:top w:val="none" w:sz="0" w:space="0" w:color="auto"/>
                <w:left w:val="none" w:sz="0" w:space="0" w:color="auto"/>
                <w:bottom w:val="none" w:sz="0" w:space="0" w:color="auto"/>
                <w:right w:val="none" w:sz="0" w:space="0" w:color="auto"/>
              </w:divBdr>
            </w:div>
          </w:divsChild>
        </w:div>
        <w:div w:id="1260599134">
          <w:marLeft w:val="0"/>
          <w:marRight w:val="0"/>
          <w:marTop w:val="0"/>
          <w:marBottom w:val="0"/>
          <w:divBdr>
            <w:top w:val="none" w:sz="0" w:space="0" w:color="auto"/>
            <w:left w:val="none" w:sz="0" w:space="0" w:color="auto"/>
            <w:bottom w:val="none" w:sz="0" w:space="0" w:color="auto"/>
            <w:right w:val="none" w:sz="0" w:space="0" w:color="auto"/>
          </w:divBdr>
          <w:divsChild>
            <w:div w:id="879979386">
              <w:marLeft w:val="0"/>
              <w:marRight w:val="0"/>
              <w:marTop w:val="0"/>
              <w:marBottom w:val="0"/>
              <w:divBdr>
                <w:top w:val="none" w:sz="0" w:space="0" w:color="auto"/>
                <w:left w:val="none" w:sz="0" w:space="0" w:color="auto"/>
                <w:bottom w:val="none" w:sz="0" w:space="0" w:color="auto"/>
                <w:right w:val="none" w:sz="0" w:space="0" w:color="auto"/>
              </w:divBdr>
            </w:div>
          </w:divsChild>
        </w:div>
        <w:div w:id="1307008852">
          <w:marLeft w:val="0"/>
          <w:marRight w:val="0"/>
          <w:marTop w:val="0"/>
          <w:marBottom w:val="0"/>
          <w:divBdr>
            <w:top w:val="none" w:sz="0" w:space="0" w:color="auto"/>
            <w:left w:val="none" w:sz="0" w:space="0" w:color="auto"/>
            <w:bottom w:val="none" w:sz="0" w:space="0" w:color="auto"/>
            <w:right w:val="none" w:sz="0" w:space="0" w:color="auto"/>
          </w:divBdr>
          <w:divsChild>
            <w:div w:id="88671104">
              <w:marLeft w:val="0"/>
              <w:marRight w:val="0"/>
              <w:marTop w:val="0"/>
              <w:marBottom w:val="0"/>
              <w:divBdr>
                <w:top w:val="none" w:sz="0" w:space="0" w:color="auto"/>
                <w:left w:val="none" w:sz="0" w:space="0" w:color="auto"/>
                <w:bottom w:val="none" w:sz="0" w:space="0" w:color="auto"/>
                <w:right w:val="none" w:sz="0" w:space="0" w:color="auto"/>
              </w:divBdr>
            </w:div>
          </w:divsChild>
        </w:div>
        <w:div w:id="1397778098">
          <w:marLeft w:val="0"/>
          <w:marRight w:val="0"/>
          <w:marTop w:val="0"/>
          <w:marBottom w:val="0"/>
          <w:divBdr>
            <w:top w:val="none" w:sz="0" w:space="0" w:color="auto"/>
            <w:left w:val="none" w:sz="0" w:space="0" w:color="auto"/>
            <w:bottom w:val="none" w:sz="0" w:space="0" w:color="auto"/>
            <w:right w:val="none" w:sz="0" w:space="0" w:color="auto"/>
          </w:divBdr>
          <w:divsChild>
            <w:div w:id="2054646687">
              <w:marLeft w:val="0"/>
              <w:marRight w:val="0"/>
              <w:marTop w:val="0"/>
              <w:marBottom w:val="0"/>
              <w:divBdr>
                <w:top w:val="none" w:sz="0" w:space="0" w:color="auto"/>
                <w:left w:val="none" w:sz="0" w:space="0" w:color="auto"/>
                <w:bottom w:val="none" w:sz="0" w:space="0" w:color="auto"/>
                <w:right w:val="none" w:sz="0" w:space="0" w:color="auto"/>
              </w:divBdr>
            </w:div>
          </w:divsChild>
        </w:div>
        <w:div w:id="1433478030">
          <w:marLeft w:val="0"/>
          <w:marRight w:val="0"/>
          <w:marTop w:val="0"/>
          <w:marBottom w:val="0"/>
          <w:divBdr>
            <w:top w:val="none" w:sz="0" w:space="0" w:color="auto"/>
            <w:left w:val="none" w:sz="0" w:space="0" w:color="auto"/>
            <w:bottom w:val="none" w:sz="0" w:space="0" w:color="auto"/>
            <w:right w:val="none" w:sz="0" w:space="0" w:color="auto"/>
          </w:divBdr>
          <w:divsChild>
            <w:div w:id="624852883">
              <w:marLeft w:val="0"/>
              <w:marRight w:val="0"/>
              <w:marTop w:val="0"/>
              <w:marBottom w:val="0"/>
              <w:divBdr>
                <w:top w:val="none" w:sz="0" w:space="0" w:color="auto"/>
                <w:left w:val="none" w:sz="0" w:space="0" w:color="auto"/>
                <w:bottom w:val="none" w:sz="0" w:space="0" w:color="auto"/>
                <w:right w:val="none" w:sz="0" w:space="0" w:color="auto"/>
              </w:divBdr>
            </w:div>
          </w:divsChild>
        </w:div>
        <w:div w:id="1442803766">
          <w:marLeft w:val="0"/>
          <w:marRight w:val="0"/>
          <w:marTop w:val="0"/>
          <w:marBottom w:val="0"/>
          <w:divBdr>
            <w:top w:val="none" w:sz="0" w:space="0" w:color="auto"/>
            <w:left w:val="none" w:sz="0" w:space="0" w:color="auto"/>
            <w:bottom w:val="none" w:sz="0" w:space="0" w:color="auto"/>
            <w:right w:val="none" w:sz="0" w:space="0" w:color="auto"/>
          </w:divBdr>
          <w:divsChild>
            <w:div w:id="1128625152">
              <w:marLeft w:val="0"/>
              <w:marRight w:val="0"/>
              <w:marTop w:val="0"/>
              <w:marBottom w:val="0"/>
              <w:divBdr>
                <w:top w:val="none" w:sz="0" w:space="0" w:color="auto"/>
                <w:left w:val="none" w:sz="0" w:space="0" w:color="auto"/>
                <w:bottom w:val="none" w:sz="0" w:space="0" w:color="auto"/>
                <w:right w:val="none" w:sz="0" w:space="0" w:color="auto"/>
              </w:divBdr>
            </w:div>
          </w:divsChild>
        </w:div>
        <w:div w:id="1461265307">
          <w:marLeft w:val="0"/>
          <w:marRight w:val="0"/>
          <w:marTop w:val="0"/>
          <w:marBottom w:val="0"/>
          <w:divBdr>
            <w:top w:val="none" w:sz="0" w:space="0" w:color="auto"/>
            <w:left w:val="none" w:sz="0" w:space="0" w:color="auto"/>
            <w:bottom w:val="none" w:sz="0" w:space="0" w:color="auto"/>
            <w:right w:val="none" w:sz="0" w:space="0" w:color="auto"/>
          </w:divBdr>
          <w:divsChild>
            <w:div w:id="1136531663">
              <w:marLeft w:val="0"/>
              <w:marRight w:val="0"/>
              <w:marTop w:val="0"/>
              <w:marBottom w:val="0"/>
              <w:divBdr>
                <w:top w:val="none" w:sz="0" w:space="0" w:color="auto"/>
                <w:left w:val="none" w:sz="0" w:space="0" w:color="auto"/>
                <w:bottom w:val="none" w:sz="0" w:space="0" w:color="auto"/>
                <w:right w:val="none" w:sz="0" w:space="0" w:color="auto"/>
              </w:divBdr>
            </w:div>
          </w:divsChild>
        </w:div>
        <w:div w:id="1582175687">
          <w:marLeft w:val="0"/>
          <w:marRight w:val="0"/>
          <w:marTop w:val="0"/>
          <w:marBottom w:val="0"/>
          <w:divBdr>
            <w:top w:val="none" w:sz="0" w:space="0" w:color="auto"/>
            <w:left w:val="none" w:sz="0" w:space="0" w:color="auto"/>
            <w:bottom w:val="none" w:sz="0" w:space="0" w:color="auto"/>
            <w:right w:val="none" w:sz="0" w:space="0" w:color="auto"/>
          </w:divBdr>
          <w:divsChild>
            <w:div w:id="945427356">
              <w:marLeft w:val="0"/>
              <w:marRight w:val="0"/>
              <w:marTop w:val="0"/>
              <w:marBottom w:val="0"/>
              <w:divBdr>
                <w:top w:val="none" w:sz="0" w:space="0" w:color="auto"/>
                <w:left w:val="none" w:sz="0" w:space="0" w:color="auto"/>
                <w:bottom w:val="none" w:sz="0" w:space="0" w:color="auto"/>
                <w:right w:val="none" w:sz="0" w:space="0" w:color="auto"/>
              </w:divBdr>
            </w:div>
          </w:divsChild>
        </w:div>
        <w:div w:id="1583874400">
          <w:marLeft w:val="0"/>
          <w:marRight w:val="0"/>
          <w:marTop w:val="0"/>
          <w:marBottom w:val="0"/>
          <w:divBdr>
            <w:top w:val="none" w:sz="0" w:space="0" w:color="auto"/>
            <w:left w:val="none" w:sz="0" w:space="0" w:color="auto"/>
            <w:bottom w:val="none" w:sz="0" w:space="0" w:color="auto"/>
            <w:right w:val="none" w:sz="0" w:space="0" w:color="auto"/>
          </w:divBdr>
          <w:divsChild>
            <w:div w:id="1193416675">
              <w:marLeft w:val="0"/>
              <w:marRight w:val="0"/>
              <w:marTop w:val="0"/>
              <w:marBottom w:val="0"/>
              <w:divBdr>
                <w:top w:val="none" w:sz="0" w:space="0" w:color="auto"/>
                <w:left w:val="none" w:sz="0" w:space="0" w:color="auto"/>
                <w:bottom w:val="none" w:sz="0" w:space="0" w:color="auto"/>
                <w:right w:val="none" w:sz="0" w:space="0" w:color="auto"/>
              </w:divBdr>
            </w:div>
          </w:divsChild>
        </w:div>
        <w:div w:id="1593511637">
          <w:marLeft w:val="0"/>
          <w:marRight w:val="0"/>
          <w:marTop w:val="0"/>
          <w:marBottom w:val="0"/>
          <w:divBdr>
            <w:top w:val="none" w:sz="0" w:space="0" w:color="auto"/>
            <w:left w:val="none" w:sz="0" w:space="0" w:color="auto"/>
            <w:bottom w:val="none" w:sz="0" w:space="0" w:color="auto"/>
            <w:right w:val="none" w:sz="0" w:space="0" w:color="auto"/>
          </w:divBdr>
          <w:divsChild>
            <w:div w:id="73167332">
              <w:marLeft w:val="0"/>
              <w:marRight w:val="0"/>
              <w:marTop w:val="0"/>
              <w:marBottom w:val="0"/>
              <w:divBdr>
                <w:top w:val="none" w:sz="0" w:space="0" w:color="auto"/>
                <w:left w:val="none" w:sz="0" w:space="0" w:color="auto"/>
                <w:bottom w:val="none" w:sz="0" w:space="0" w:color="auto"/>
                <w:right w:val="none" w:sz="0" w:space="0" w:color="auto"/>
              </w:divBdr>
            </w:div>
          </w:divsChild>
        </w:div>
        <w:div w:id="1666130336">
          <w:marLeft w:val="0"/>
          <w:marRight w:val="0"/>
          <w:marTop w:val="0"/>
          <w:marBottom w:val="0"/>
          <w:divBdr>
            <w:top w:val="none" w:sz="0" w:space="0" w:color="auto"/>
            <w:left w:val="none" w:sz="0" w:space="0" w:color="auto"/>
            <w:bottom w:val="none" w:sz="0" w:space="0" w:color="auto"/>
            <w:right w:val="none" w:sz="0" w:space="0" w:color="auto"/>
          </w:divBdr>
          <w:divsChild>
            <w:div w:id="1084961498">
              <w:marLeft w:val="0"/>
              <w:marRight w:val="0"/>
              <w:marTop w:val="0"/>
              <w:marBottom w:val="0"/>
              <w:divBdr>
                <w:top w:val="none" w:sz="0" w:space="0" w:color="auto"/>
                <w:left w:val="none" w:sz="0" w:space="0" w:color="auto"/>
                <w:bottom w:val="none" w:sz="0" w:space="0" w:color="auto"/>
                <w:right w:val="none" w:sz="0" w:space="0" w:color="auto"/>
              </w:divBdr>
            </w:div>
          </w:divsChild>
        </w:div>
        <w:div w:id="1706518438">
          <w:marLeft w:val="0"/>
          <w:marRight w:val="0"/>
          <w:marTop w:val="0"/>
          <w:marBottom w:val="0"/>
          <w:divBdr>
            <w:top w:val="none" w:sz="0" w:space="0" w:color="auto"/>
            <w:left w:val="none" w:sz="0" w:space="0" w:color="auto"/>
            <w:bottom w:val="none" w:sz="0" w:space="0" w:color="auto"/>
            <w:right w:val="none" w:sz="0" w:space="0" w:color="auto"/>
          </w:divBdr>
          <w:divsChild>
            <w:div w:id="946474161">
              <w:marLeft w:val="0"/>
              <w:marRight w:val="0"/>
              <w:marTop w:val="0"/>
              <w:marBottom w:val="0"/>
              <w:divBdr>
                <w:top w:val="none" w:sz="0" w:space="0" w:color="auto"/>
                <w:left w:val="none" w:sz="0" w:space="0" w:color="auto"/>
                <w:bottom w:val="none" w:sz="0" w:space="0" w:color="auto"/>
                <w:right w:val="none" w:sz="0" w:space="0" w:color="auto"/>
              </w:divBdr>
            </w:div>
          </w:divsChild>
        </w:div>
        <w:div w:id="1720590117">
          <w:marLeft w:val="0"/>
          <w:marRight w:val="0"/>
          <w:marTop w:val="0"/>
          <w:marBottom w:val="0"/>
          <w:divBdr>
            <w:top w:val="none" w:sz="0" w:space="0" w:color="auto"/>
            <w:left w:val="none" w:sz="0" w:space="0" w:color="auto"/>
            <w:bottom w:val="none" w:sz="0" w:space="0" w:color="auto"/>
            <w:right w:val="none" w:sz="0" w:space="0" w:color="auto"/>
          </w:divBdr>
          <w:divsChild>
            <w:div w:id="2114549144">
              <w:marLeft w:val="0"/>
              <w:marRight w:val="0"/>
              <w:marTop w:val="0"/>
              <w:marBottom w:val="0"/>
              <w:divBdr>
                <w:top w:val="none" w:sz="0" w:space="0" w:color="auto"/>
                <w:left w:val="none" w:sz="0" w:space="0" w:color="auto"/>
                <w:bottom w:val="none" w:sz="0" w:space="0" w:color="auto"/>
                <w:right w:val="none" w:sz="0" w:space="0" w:color="auto"/>
              </w:divBdr>
            </w:div>
          </w:divsChild>
        </w:div>
        <w:div w:id="1753506242">
          <w:marLeft w:val="0"/>
          <w:marRight w:val="0"/>
          <w:marTop w:val="0"/>
          <w:marBottom w:val="0"/>
          <w:divBdr>
            <w:top w:val="none" w:sz="0" w:space="0" w:color="auto"/>
            <w:left w:val="none" w:sz="0" w:space="0" w:color="auto"/>
            <w:bottom w:val="none" w:sz="0" w:space="0" w:color="auto"/>
            <w:right w:val="none" w:sz="0" w:space="0" w:color="auto"/>
          </w:divBdr>
          <w:divsChild>
            <w:div w:id="2002198783">
              <w:marLeft w:val="0"/>
              <w:marRight w:val="0"/>
              <w:marTop w:val="0"/>
              <w:marBottom w:val="0"/>
              <w:divBdr>
                <w:top w:val="none" w:sz="0" w:space="0" w:color="auto"/>
                <w:left w:val="none" w:sz="0" w:space="0" w:color="auto"/>
                <w:bottom w:val="none" w:sz="0" w:space="0" w:color="auto"/>
                <w:right w:val="none" w:sz="0" w:space="0" w:color="auto"/>
              </w:divBdr>
            </w:div>
          </w:divsChild>
        </w:div>
        <w:div w:id="1754625270">
          <w:marLeft w:val="0"/>
          <w:marRight w:val="0"/>
          <w:marTop w:val="0"/>
          <w:marBottom w:val="0"/>
          <w:divBdr>
            <w:top w:val="none" w:sz="0" w:space="0" w:color="auto"/>
            <w:left w:val="none" w:sz="0" w:space="0" w:color="auto"/>
            <w:bottom w:val="none" w:sz="0" w:space="0" w:color="auto"/>
            <w:right w:val="none" w:sz="0" w:space="0" w:color="auto"/>
          </w:divBdr>
          <w:divsChild>
            <w:div w:id="1980718893">
              <w:marLeft w:val="0"/>
              <w:marRight w:val="0"/>
              <w:marTop w:val="0"/>
              <w:marBottom w:val="0"/>
              <w:divBdr>
                <w:top w:val="none" w:sz="0" w:space="0" w:color="auto"/>
                <w:left w:val="none" w:sz="0" w:space="0" w:color="auto"/>
                <w:bottom w:val="none" w:sz="0" w:space="0" w:color="auto"/>
                <w:right w:val="none" w:sz="0" w:space="0" w:color="auto"/>
              </w:divBdr>
            </w:div>
          </w:divsChild>
        </w:div>
        <w:div w:id="1770468435">
          <w:marLeft w:val="0"/>
          <w:marRight w:val="0"/>
          <w:marTop w:val="0"/>
          <w:marBottom w:val="0"/>
          <w:divBdr>
            <w:top w:val="none" w:sz="0" w:space="0" w:color="auto"/>
            <w:left w:val="none" w:sz="0" w:space="0" w:color="auto"/>
            <w:bottom w:val="none" w:sz="0" w:space="0" w:color="auto"/>
            <w:right w:val="none" w:sz="0" w:space="0" w:color="auto"/>
          </w:divBdr>
          <w:divsChild>
            <w:div w:id="1638536253">
              <w:marLeft w:val="0"/>
              <w:marRight w:val="0"/>
              <w:marTop w:val="0"/>
              <w:marBottom w:val="0"/>
              <w:divBdr>
                <w:top w:val="none" w:sz="0" w:space="0" w:color="auto"/>
                <w:left w:val="none" w:sz="0" w:space="0" w:color="auto"/>
                <w:bottom w:val="none" w:sz="0" w:space="0" w:color="auto"/>
                <w:right w:val="none" w:sz="0" w:space="0" w:color="auto"/>
              </w:divBdr>
            </w:div>
          </w:divsChild>
        </w:div>
        <w:div w:id="1794859400">
          <w:marLeft w:val="0"/>
          <w:marRight w:val="0"/>
          <w:marTop w:val="0"/>
          <w:marBottom w:val="0"/>
          <w:divBdr>
            <w:top w:val="none" w:sz="0" w:space="0" w:color="auto"/>
            <w:left w:val="none" w:sz="0" w:space="0" w:color="auto"/>
            <w:bottom w:val="none" w:sz="0" w:space="0" w:color="auto"/>
            <w:right w:val="none" w:sz="0" w:space="0" w:color="auto"/>
          </w:divBdr>
          <w:divsChild>
            <w:div w:id="454714518">
              <w:marLeft w:val="0"/>
              <w:marRight w:val="0"/>
              <w:marTop w:val="0"/>
              <w:marBottom w:val="0"/>
              <w:divBdr>
                <w:top w:val="none" w:sz="0" w:space="0" w:color="auto"/>
                <w:left w:val="none" w:sz="0" w:space="0" w:color="auto"/>
                <w:bottom w:val="none" w:sz="0" w:space="0" w:color="auto"/>
                <w:right w:val="none" w:sz="0" w:space="0" w:color="auto"/>
              </w:divBdr>
            </w:div>
          </w:divsChild>
        </w:div>
        <w:div w:id="1883713520">
          <w:marLeft w:val="0"/>
          <w:marRight w:val="0"/>
          <w:marTop w:val="0"/>
          <w:marBottom w:val="0"/>
          <w:divBdr>
            <w:top w:val="none" w:sz="0" w:space="0" w:color="auto"/>
            <w:left w:val="none" w:sz="0" w:space="0" w:color="auto"/>
            <w:bottom w:val="none" w:sz="0" w:space="0" w:color="auto"/>
            <w:right w:val="none" w:sz="0" w:space="0" w:color="auto"/>
          </w:divBdr>
          <w:divsChild>
            <w:div w:id="1421483803">
              <w:marLeft w:val="0"/>
              <w:marRight w:val="0"/>
              <w:marTop w:val="0"/>
              <w:marBottom w:val="0"/>
              <w:divBdr>
                <w:top w:val="none" w:sz="0" w:space="0" w:color="auto"/>
                <w:left w:val="none" w:sz="0" w:space="0" w:color="auto"/>
                <w:bottom w:val="none" w:sz="0" w:space="0" w:color="auto"/>
                <w:right w:val="none" w:sz="0" w:space="0" w:color="auto"/>
              </w:divBdr>
            </w:div>
          </w:divsChild>
        </w:div>
        <w:div w:id="1901751354">
          <w:marLeft w:val="0"/>
          <w:marRight w:val="0"/>
          <w:marTop w:val="0"/>
          <w:marBottom w:val="0"/>
          <w:divBdr>
            <w:top w:val="none" w:sz="0" w:space="0" w:color="auto"/>
            <w:left w:val="none" w:sz="0" w:space="0" w:color="auto"/>
            <w:bottom w:val="none" w:sz="0" w:space="0" w:color="auto"/>
            <w:right w:val="none" w:sz="0" w:space="0" w:color="auto"/>
          </w:divBdr>
          <w:divsChild>
            <w:div w:id="1918517649">
              <w:marLeft w:val="0"/>
              <w:marRight w:val="0"/>
              <w:marTop w:val="0"/>
              <w:marBottom w:val="0"/>
              <w:divBdr>
                <w:top w:val="none" w:sz="0" w:space="0" w:color="auto"/>
                <w:left w:val="none" w:sz="0" w:space="0" w:color="auto"/>
                <w:bottom w:val="none" w:sz="0" w:space="0" w:color="auto"/>
                <w:right w:val="none" w:sz="0" w:space="0" w:color="auto"/>
              </w:divBdr>
            </w:div>
          </w:divsChild>
        </w:div>
        <w:div w:id="1980451831">
          <w:marLeft w:val="0"/>
          <w:marRight w:val="0"/>
          <w:marTop w:val="0"/>
          <w:marBottom w:val="0"/>
          <w:divBdr>
            <w:top w:val="none" w:sz="0" w:space="0" w:color="auto"/>
            <w:left w:val="none" w:sz="0" w:space="0" w:color="auto"/>
            <w:bottom w:val="none" w:sz="0" w:space="0" w:color="auto"/>
            <w:right w:val="none" w:sz="0" w:space="0" w:color="auto"/>
          </w:divBdr>
          <w:divsChild>
            <w:div w:id="1380713792">
              <w:marLeft w:val="0"/>
              <w:marRight w:val="0"/>
              <w:marTop w:val="0"/>
              <w:marBottom w:val="0"/>
              <w:divBdr>
                <w:top w:val="none" w:sz="0" w:space="0" w:color="auto"/>
                <w:left w:val="none" w:sz="0" w:space="0" w:color="auto"/>
                <w:bottom w:val="none" w:sz="0" w:space="0" w:color="auto"/>
                <w:right w:val="none" w:sz="0" w:space="0" w:color="auto"/>
              </w:divBdr>
            </w:div>
          </w:divsChild>
        </w:div>
        <w:div w:id="2027174147">
          <w:marLeft w:val="0"/>
          <w:marRight w:val="0"/>
          <w:marTop w:val="0"/>
          <w:marBottom w:val="0"/>
          <w:divBdr>
            <w:top w:val="none" w:sz="0" w:space="0" w:color="auto"/>
            <w:left w:val="none" w:sz="0" w:space="0" w:color="auto"/>
            <w:bottom w:val="none" w:sz="0" w:space="0" w:color="auto"/>
            <w:right w:val="none" w:sz="0" w:space="0" w:color="auto"/>
          </w:divBdr>
          <w:divsChild>
            <w:div w:id="183640626">
              <w:marLeft w:val="0"/>
              <w:marRight w:val="0"/>
              <w:marTop w:val="0"/>
              <w:marBottom w:val="0"/>
              <w:divBdr>
                <w:top w:val="none" w:sz="0" w:space="0" w:color="auto"/>
                <w:left w:val="none" w:sz="0" w:space="0" w:color="auto"/>
                <w:bottom w:val="none" w:sz="0" w:space="0" w:color="auto"/>
                <w:right w:val="none" w:sz="0" w:space="0" w:color="auto"/>
              </w:divBdr>
            </w:div>
          </w:divsChild>
        </w:div>
        <w:div w:id="2033071876">
          <w:marLeft w:val="0"/>
          <w:marRight w:val="0"/>
          <w:marTop w:val="0"/>
          <w:marBottom w:val="0"/>
          <w:divBdr>
            <w:top w:val="none" w:sz="0" w:space="0" w:color="auto"/>
            <w:left w:val="none" w:sz="0" w:space="0" w:color="auto"/>
            <w:bottom w:val="none" w:sz="0" w:space="0" w:color="auto"/>
            <w:right w:val="none" w:sz="0" w:space="0" w:color="auto"/>
          </w:divBdr>
          <w:divsChild>
            <w:div w:id="1178156313">
              <w:marLeft w:val="0"/>
              <w:marRight w:val="0"/>
              <w:marTop w:val="0"/>
              <w:marBottom w:val="0"/>
              <w:divBdr>
                <w:top w:val="none" w:sz="0" w:space="0" w:color="auto"/>
                <w:left w:val="none" w:sz="0" w:space="0" w:color="auto"/>
                <w:bottom w:val="none" w:sz="0" w:space="0" w:color="auto"/>
                <w:right w:val="none" w:sz="0" w:space="0" w:color="auto"/>
              </w:divBdr>
            </w:div>
          </w:divsChild>
        </w:div>
        <w:div w:id="2045134937">
          <w:marLeft w:val="0"/>
          <w:marRight w:val="0"/>
          <w:marTop w:val="0"/>
          <w:marBottom w:val="0"/>
          <w:divBdr>
            <w:top w:val="none" w:sz="0" w:space="0" w:color="auto"/>
            <w:left w:val="none" w:sz="0" w:space="0" w:color="auto"/>
            <w:bottom w:val="none" w:sz="0" w:space="0" w:color="auto"/>
            <w:right w:val="none" w:sz="0" w:space="0" w:color="auto"/>
          </w:divBdr>
          <w:divsChild>
            <w:div w:id="1288582601">
              <w:marLeft w:val="0"/>
              <w:marRight w:val="0"/>
              <w:marTop w:val="0"/>
              <w:marBottom w:val="0"/>
              <w:divBdr>
                <w:top w:val="none" w:sz="0" w:space="0" w:color="auto"/>
                <w:left w:val="none" w:sz="0" w:space="0" w:color="auto"/>
                <w:bottom w:val="none" w:sz="0" w:space="0" w:color="auto"/>
                <w:right w:val="none" w:sz="0" w:space="0" w:color="auto"/>
              </w:divBdr>
            </w:div>
          </w:divsChild>
        </w:div>
        <w:div w:id="2060933946">
          <w:marLeft w:val="0"/>
          <w:marRight w:val="0"/>
          <w:marTop w:val="0"/>
          <w:marBottom w:val="0"/>
          <w:divBdr>
            <w:top w:val="none" w:sz="0" w:space="0" w:color="auto"/>
            <w:left w:val="none" w:sz="0" w:space="0" w:color="auto"/>
            <w:bottom w:val="none" w:sz="0" w:space="0" w:color="auto"/>
            <w:right w:val="none" w:sz="0" w:space="0" w:color="auto"/>
          </w:divBdr>
          <w:divsChild>
            <w:div w:id="1305694313">
              <w:marLeft w:val="0"/>
              <w:marRight w:val="0"/>
              <w:marTop w:val="0"/>
              <w:marBottom w:val="0"/>
              <w:divBdr>
                <w:top w:val="none" w:sz="0" w:space="0" w:color="auto"/>
                <w:left w:val="none" w:sz="0" w:space="0" w:color="auto"/>
                <w:bottom w:val="none" w:sz="0" w:space="0" w:color="auto"/>
                <w:right w:val="none" w:sz="0" w:space="0" w:color="auto"/>
              </w:divBdr>
            </w:div>
          </w:divsChild>
        </w:div>
        <w:div w:id="2065177080">
          <w:marLeft w:val="0"/>
          <w:marRight w:val="0"/>
          <w:marTop w:val="0"/>
          <w:marBottom w:val="0"/>
          <w:divBdr>
            <w:top w:val="none" w:sz="0" w:space="0" w:color="auto"/>
            <w:left w:val="none" w:sz="0" w:space="0" w:color="auto"/>
            <w:bottom w:val="none" w:sz="0" w:space="0" w:color="auto"/>
            <w:right w:val="none" w:sz="0" w:space="0" w:color="auto"/>
          </w:divBdr>
          <w:divsChild>
            <w:div w:id="12388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49036">
      <w:bodyDiv w:val="1"/>
      <w:marLeft w:val="0"/>
      <w:marRight w:val="0"/>
      <w:marTop w:val="0"/>
      <w:marBottom w:val="0"/>
      <w:divBdr>
        <w:top w:val="none" w:sz="0" w:space="0" w:color="auto"/>
        <w:left w:val="none" w:sz="0" w:space="0" w:color="auto"/>
        <w:bottom w:val="none" w:sz="0" w:space="0" w:color="auto"/>
        <w:right w:val="none" w:sz="0" w:space="0" w:color="auto"/>
      </w:divBdr>
      <w:divsChild>
        <w:div w:id="1086145786">
          <w:marLeft w:val="0"/>
          <w:marRight w:val="0"/>
          <w:marTop w:val="0"/>
          <w:marBottom w:val="0"/>
          <w:divBdr>
            <w:top w:val="single" w:sz="2" w:space="0" w:color="D9D9E3"/>
            <w:left w:val="single" w:sz="2" w:space="0" w:color="D9D9E3"/>
            <w:bottom w:val="single" w:sz="2" w:space="0" w:color="D9D9E3"/>
            <w:right w:val="single" w:sz="2" w:space="0" w:color="D9D9E3"/>
          </w:divBdr>
          <w:divsChild>
            <w:div w:id="786125921">
              <w:marLeft w:val="0"/>
              <w:marRight w:val="0"/>
              <w:marTop w:val="0"/>
              <w:marBottom w:val="0"/>
              <w:divBdr>
                <w:top w:val="single" w:sz="2" w:space="0" w:color="D9D9E3"/>
                <w:left w:val="single" w:sz="2" w:space="0" w:color="D9D9E3"/>
                <w:bottom w:val="single" w:sz="2" w:space="0" w:color="D9D9E3"/>
                <w:right w:val="single" w:sz="2" w:space="0" w:color="D9D9E3"/>
              </w:divBdr>
              <w:divsChild>
                <w:div w:id="1691762393">
                  <w:marLeft w:val="0"/>
                  <w:marRight w:val="0"/>
                  <w:marTop w:val="0"/>
                  <w:marBottom w:val="0"/>
                  <w:divBdr>
                    <w:top w:val="single" w:sz="2" w:space="0" w:color="D9D9E3"/>
                    <w:left w:val="single" w:sz="2" w:space="0" w:color="D9D9E3"/>
                    <w:bottom w:val="single" w:sz="2" w:space="0" w:color="D9D9E3"/>
                    <w:right w:val="single" w:sz="2" w:space="0" w:color="D9D9E3"/>
                  </w:divBdr>
                  <w:divsChild>
                    <w:div w:id="1273976500">
                      <w:marLeft w:val="0"/>
                      <w:marRight w:val="0"/>
                      <w:marTop w:val="0"/>
                      <w:marBottom w:val="0"/>
                      <w:divBdr>
                        <w:top w:val="single" w:sz="2" w:space="0" w:color="D9D9E3"/>
                        <w:left w:val="single" w:sz="2" w:space="0" w:color="D9D9E3"/>
                        <w:bottom w:val="single" w:sz="2" w:space="0" w:color="D9D9E3"/>
                        <w:right w:val="single" w:sz="2" w:space="0" w:color="D9D9E3"/>
                      </w:divBdr>
                      <w:divsChild>
                        <w:div w:id="1726758438">
                          <w:marLeft w:val="0"/>
                          <w:marRight w:val="0"/>
                          <w:marTop w:val="0"/>
                          <w:marBottom w:val="0"/>
                          <w:divBdr>
                            <w:top w:val="single" w:sz="2" w:space="0" w:color="D9D9E3"/>
                            <w:left w:val="single" w:sz="2" w:space="0" w:color="D9D9E3"/>
                            <w:bottom w:val="single" w:sz="2" w:space="0" w:color="D9D9E3"/>
                            <w:right w:val="single" w:sz="2" w:space="0" w:color="D9D9E3"/>
                          </w:divBdr>
                          <w:divsChild>
                            <w:div w:id="16398109">
                              <w:marLeft w:val="0"/>
                              <w:marRight w:val="0"/>
                              <w:marTop w:val="100"/>
                              <w:marBottom w:val="100"/>
                              <w:divBdr>
                                <w:top w:val="single" w:sz="2" w:space="0" w:color="D9D9E3"/>
                                <w:left w:val="single" w:sz="2" w:space="0" w:color="D9D9E3"/>
                                <w:bottom w:val="single" w:sz="2" w:space="0" w:color="D9D9E3"/>
                                <w:right w:val="single" w:sz="2" w:space="0" w:color="D9D9E3"/>
                              </w:divBdr>
                              <w:divsChild>
                                <w:div w:id="1249651214">
                                  <w:marLeft w:val="0"/>
                                  <w:marRight w:val="0"/>
                                  <w:marTop w:val="0"/>
                                  <w:marBottom w:val="0"/>
                                  <w:divBdr>
                                    <w:top w:val="single" w:sz="2" w:space="0" w:color="D9D9E3"/>
                                    <w:left w:val="single" w:sz="2" w:space="0" w:color="D9D9E3"/>
                                    <w:bottom w:val="single" w:sz="2" w:space="0" w:color="D9D9E3"/>
                                    <w:right w:val="single" w:sz="2" w:space="0" w:color="D9D9E3"/>
                                  </w:divBdr>
                                  <w:divsChild>
                                    <w:div w:id="116606432">
                                      <w:marLeft w:val="0"/>
                                      <w:marRight w:val="0"/>
                                      <w:marTop w:val="0"/>
                                      <w:marBottom w:val="0"/>
                                      <w:divBdr>
                                        <w:top w:val="single" w:sz="2" w:space="0" w:color="D9D9E3"/>
                                        <w:left w:val="single" w:sz="2" w:space="0" w:color="D9D9E3"/>
                                        <w:bottom w:val="single" w:sz="2" w:space="0" w:color="D9D9E3"/>
                                        <w:right w:val="single" w:sz="2" w:space="0" w:color="D9D9E3"/>
                                      </w:divBdr>
                                      <w:divsChild>
                                        <w:div w:id="1207644834">
                                          <w:marLeft w:val="0"/>
                                          <w:marRight w:val="0"/>
                                          <w:marTop w:val="0"/>
                                          <w:marBottom w:val="0"/>
                                          <w:divBdr>
                                            <w:top w:val="single" w:sz="2" w:space="0" w:color="D9D9E3"/>
                                            <w:left w:val="single" w:sz="2" w:space="0" w:color="D9D9E3"/>
                                            <w:bottom w:val="single" w:sz="2" w:space="0" w:color="D9D9E3"/>
                                            <w:right w:val="single" w:sz="2" w:space="0" w:color="D9D9E3"/>
                                          </w:divBdr>
                                          <w:divsChild>
                                            <w:div w:id="1812936676">
                                              <w:marLeft w:val="0"/>
                                              <w:marRight w:val="0"/>
                                              <w:marTop w:val="0"/>
                                              <w:marBottom w:val="0"/>
                                              <w:divBdr>
                                                <w:top w:val="single" w:sz="2" w:space="0" w:color="D9D9E3"/>
                                                <w:left w:val="single" w:sz="2" w:space="0" w:color="D9D9E3"/>
                                                <w:bottom w:val="single" w:sz="2" w:space="0" w:color="D9D9E3"/>
                                                <w:right w:val="single" w:sz="2" w:space="0" w:color="D9D9E3"/>
                                              </w:divBdr>
                                              <w:divsChild>
                                                <w:div w:id="896285840">
                                                  <w:marLeft w:val="0"/>
                                                  <w:marRight w:val="0"/>
                                                  <w:marTop w:val="0"/>
                                                  <w:marBottom w:val="0"/>
                                                  <w:divBdr>
                                                    <w:top w:val="single" w:sz="2" w:space="0" w:color="D9D9E3"/>
                                                    <w:left w:val="single" w:sz="2" w:space="0" w:color="D9D9E3"/>
                                                    <w:bottom w:val="single" w:sz="2" w:space="0" w:color="D9D9E3"/>
                                                    <w:right w:val="single" w:sz="2" w:space="0" w:color="D9D9E3"/>
                                                  </w:divBdr>
                                                  <w:divsChild>
                                                    <w:div w:id="2071493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79912465">
          <w:marLeft w:val="0"/>
          <w:marRight w:val="0"/>
          <w:marTop w:val="0"/>
          <w:marBottom w:val="0"/>
          <w:divBdr>
            <w:top w:val="none" w:sz="0" w:space="0" w:color="auto"/>
            <w:left w:val="none" w:sz="0" w:space="0" w:color="auto"/>
            <w:bottom w:val="none" w:sz="0" w:space="0" w:color="auto"/>
            <w:right w:val="none" w:sz="0" w:space="0" w:color="auto"/>
          </w:divBdr>
          <w:divsChild>
            <w:div w:id="1771463089">
              <w:marLeft w:val="0"/>
              <w:marRight w:val="0"/>
              <w:marTop w:val="0"/>
              <w:marBottom w:val="0"/>
              <w:divBdr>
                <w:top w:val="single" w:sz="2" w:space="0" w:color="D9D9E3"/>
                <w:left w:val="single" w:sz="2" w:space="0" w:color="D9D9E3"/>
                <w:bottom w:val="single" w:sz="2" w:space="0" w:color="D9D9E3"/>
                <w:right w:val="single" w:sz="2" w:space="0" w:color="D9D9E3"/>
              </w:divBdr>
              <w:divsChild>
                <w:div w:id="1538204600">
                  <w:marLeft w:val="0"/>
                  <w:marRight w:val="0"/>
                  <w:marTop w:val="0"/>
                  <w:marBottom w:val="0"/>
                  <w:divBdr>
                    <w:top w:val="single" w:sz="2" w:space="0" w:color="D9D9E3"/>
                    <w:left w:val="single" w:sz="2" w:space="0" w:color="D9D9E3"/>
                    <w:bottom w:val="single" w:sz="2" w:space="0" w:color="D9D9E3"/>
                    <w:right w:val="single" w:sz="2" w:space="0" w:color="D9D9E3"/>
                  </w:divBdr>
                  <w:divsChild>
                    <w:div w:id="1029573805">
                      <w:marLeft w:val="0"/>
                      <w:marRight w:val="0"/>
                      <w:marTop w:val="0"/>
                      <w:marBottom w:val="0"/>
                      <w:divBdr>
                        <w:top w:val="single" w:sz="6" w:space="0" w:color="auto"/>
                        <w:left w:val="single" w:sz="6" w:space="0" w:color="auto"/>
                        <w:bottom w:val="single" w:sz="6" w:space="0" w:color="auto"/>
                        <w:right w:val="single" w:sz="6" w:space="0" w:color="auto"/>
                      </w:divBdr>
                      <w:divsChild>
                        <w:div w:id="1026324360">
                          <w:marLeft w:val="0"/>
                          <w:marRight w:val="0"/>
                          <w:marTop w:val="0"/>
                          <w:marBottom w:val="0"/>
                          <w:divBdr>
                            <w:top w:val="none" w:sz="0" w:space="0" w:color="auto"/>
                            <w:left w:val="none" w:sz="0" w:space="0" w:color="auto"/>
                            <w:bottom w:val="none" w:sz="0" w:space="0" w:color="auto"/>
                            <w:right w:val="none" w:sz="0" w:space="0" w:color="auto"/>
                          </w:divBdr>
                          <w:divsChild>
                            <w:div w:id="1270503779">
                              <w:marLeft w:val="0"/>
                              <w:marRight w:val="0"/>
                              <w:marTop w:val="0"/>
                              <w:marBottom w:val="0"/>
                              <w:divBdr>
                                <w:top w:val="none" w:sz="0" w:space="0" w:color="auto"/>
                                <w:left w:val="none" w:sz="0" w:space="0" w:color="auto"/>
                                <w:bottom w:val="none" w:sz="0" w:space="0" w:color="auto"/>
                                <w:right w:val="none" w:sz="0" w:space="0" w:color="auto"/>
                              </w:divBdr>
                              <w:divsChild>
                                <w:div w:id="923300901">
                                  <w:marLeft w:val="0"/>
                                  <w:marRight w:val="0"/>
                                  <w:marTop w:val="0"/>
                                  <w:marBottom w:val="0"/>
                                  <w:divBdr>
                                    <w:top w:val="none" w:sz="0" w:space="0" w:color="auto"/>
                                    <w:left w:val="none" w:sz="0" w:space="0" w:color="auto"/>
                                    <w:bottom w:val="none" w:sz="0" w:space="0" w:color="auto"/>
                                    <w:right w:val="none" w:sz="0" w:space="0" w:color="auto"/>
                                  </w:divBdr>
                                  <w:divsChild>
                                    <w:div w:id="1803300752">
                                      <w:marLeft w:val="0"/>
                                      <w:marRight w:val="0"/>
                                      <w:marTop w:val="0"/>
                                      <w:marBottom w:val="0"/>
                                      <w:divBdr>
                                        <w:top w:val="none" w:sz="0" w:space="0" w:color="auto"/>
                                        <w:left w:val="none" w:sz="0" w:space="0" w:color="auto"/>
                                        <w:bottom w:val="none" w:sz="0" w:space="0" w:color="auto"/>
                                        <w:right w:val="none" w:sz="0" w:space="0" w:color="auto"/>
                                      </w:divBdr>
                                      <w:divsChild>
                                        <w:div w:id="1715353353">
                                          <w:marLeft w:val="0"/>
                                          <w:marRight w:val="0"/>
                                          <w:marTop w:val="0"/>
                                          <w:marBottom w:val="0"/>
                                          <w:divBdr>
                                            <w:top w:val="none" w:sz="0" w:space="0" w:color="auto"/>
                                            <w:left w:val="none" w:sz="0" w:space="0" w:color="auto"/>
                                            <w:bottom w:val="none" w:sz="0" w:space="0" w:color="auto"/>
                                            <w:right w:val="none" w:sz="0" w:space="0" w:color="auto"/>
                                          </w:divBdr>
                                          <w:divsChild>
                                            <w:div w:id="12922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AA40E-D2D5-704B-8AA2-E50E91C6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10242</Words>
  <Characters>58381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Thivalapill</dc:creator>
  <cp:keywords/>
  <dc:description/>
  <cp:lastModifiedBy>Neil Thivalapill</cp:lastModifiedBy>
  <cp:revision>29</cp:revision>
  <dcterms:created xsi:type="dcterms:W3CDTF">2024-01-30T21:14:00Z</dcterms:created>
  <dcterms:modified xsi:type="dcterms:W3CDTF">2024-01-30T21:32:00Z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id="Smk7VrT6"/&gt;&lt;style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