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2B1014" w:rsidR="0063214D" w:rsidP="002B1014" w:rsidRDefault="002B1014" w14:paraId="0DF46A19" w14:textId="354EE87C">
      <w:pPr>
        <w:jc w:val="center"/>
        <w:rPr>
          <w:rFonts w:ascii="Century Gothic" w:hAnsi="Century Gothic"/>
          <w:sz w:val="20"/>
          <w:szCs w:val="20"/>
        </w:rPr>
      </w:pPr>
      <w:r w:rsidRPr="002B1014">
        <w:rPr>
          <w:rFonts w:ascii="Century Gothic" w:hAnsi="Century Gothic"/>
          <w:sz w:val="20"/>
          <w:szCs w:val="20"/>
        </w:rPr>
        <w:t>Scoping Review Protocol</w:t>
      </w:r>
    </w:p>
    <w:p w:rsidRPr="002B1014" w:rsidR="002B1014" w:rsidP="002B1014" w:rsidRDefault="002B1014" w14:paraId="49F06FE5" w14:textId="77777777">
      <w:pPr>
        <w:rPr>
          <w:rFonts w:ascii="Century Gothic" w:hAnsi="Century Gothic"/>
          <w:b/>
          <w:bCs/>
          <w:sz w:val="20"/>
          <w:szCs w:val="20"/>
        </w:rPr>
      </w:pPr>
      <w:r w:rsidRPr="002B1014">
        <w:rPr>
          <w:rFonts w:ascii="Century Gothic" w:hAnsi="Century Gothic"/>
          <w:b/>
          <w:bCs/>
          <w:sz w:val="20"/>
          <w:szCs w:val="20"/>
        </w:rPr>
        <w:t>Title</w:t>
      </w:r>
    </w:p>
    <w:p w:rsidRPr="002B1014" w:rsidR="002B1014" w:rsidP="002B1014" w:rsidRDefault="002B1014" w14:paraId="4AD730B9" w14:textId="0A602DDD">
      <w:pPr>
        <w:rPr>
          <w:rFonts w:ascii="Century Gothic" w:hAnsi="Century Gothic"/>
          <w:sz w:val="20"/>
          <w:szCs w:val="20"/>
        </w:rPr>
      </w:pPr>
      <w:r w:rsidRPr="48018F46" w:rsidR="0D0782D0">
        <w:rPr>
          <w:rFonts w:ascii="Century Gothic" w:hAnsi="Century Gothic"/>
          <w:sz w:val="20"/>
          <w:szCs w:val="20"/>
        </w:rPr>
        <w:t xml:space="preserve">Oral Pharmacologic Management of Spasticity in Adults </w:t>
      </w:r>
      <w:r w:rsidRPr="48018F46" w:rsidR="5572FC43">
        <w:rPr>
          <w:rFonts w:ascii="Century Gothic" w:hAnsi="Century Gothic"/>
          <w:sz w:val="20"/>
          <w:szCs w:val="20"/>
        </w:rPr>
        <w:t>with</w:t>
      </w:r>
      <w:r w:rsidRPr="48018F46" w:rsidR="0D0782D0">
        <w:rPr>
          <w:rFonts w:ascii="Century Gothic" w:hAnsi="Century Gothic"/>
          <w:sz w:val="20"/>
          <w:szCs w:val="20"/>
        </w:rPr>
        <w:t xml:space="preserve"> Neurologic Disorders: A Scoping Review</w:t>
      </w:r>
    </w:p>
    <w:p w:rsidRPr="002B1014" w:rsidR="002B1014" w:rsidP="002B1014" w:rsidRDefault="002B1014" w14:paraId="6FAF58C7" w14:textId="363805B1">
      <w:pPr>
        <w:rPr>
          <w:rFonts w:ascii="Century Gothic" w:hAnsi="Century Gothic"/>
          <w:b/>
          <w:bCs/>
          <w:sz w:val="20"/>
          <w:szCs w:val="20"/>
        </w:rPr>
      </w:pPr>
      <w:r w:rsidRPr="002B1014">
        <w:rPr>
          <w:rFonts w:ascii="Century Gothic" w:hAnsi="Century Gothic"/>
          <w:b/>
          <w:bCs/>
          <w:sz w:val="20"/>
          <w:szCs w:val="20"/>
        </w:rPr>
        <w:t>Author</w:t>
      </w:r>
      <w:r w:rsidR="00B42149">
        <w:rPr>
          <w:rFonts w:ascii="Century Gothic" w:hAnsi="Century Gothic"/>
          <w:b/>
          <w:bCs/>
          <w:sz w:val="20"/>
          <w:szCs w:val="20"/>
        </w:rPr>
        <w:t>s</w:t>
      </w:r>
    </w:p>
    <w:p w:rsidRPr="005E65B2" w:rsidR="002B1014" w:rsidP="002B1014" w:rsidRDefault="005E65B2" w14:paraId="166A2558" w14:textId="1F2ED9C9">
      <w:pPr>
        <w:rPr>
          <w:rFonts w:ascii="Century Gothic" w:hAnsi="Century Gothic"/>
          <w:sz w:val="20"/>
          <w:szCs w:val="20"/>
        </w:rPr>
      </w:pPr>
      <w:r w:rsidRPr="48018F46" w:rsidR="5A774594">
        <w:rPr>
          <w:rFonts w:ascii="Century Gothic" w:hAnsi="Century Gothic"/>
          <w:sz w:val="20"/>
          <w:szCs w:val="20"/>
        </w:rPr>
        <w:t>Michelle Andary, DO</w:t>
      </w:r>
      <w:r w:rsidRPr="48018F46" w:rsidR="7E331623">
        <w:rPr>
          <w:rFonts w:ascii="Century Gothic" w:hAnsi="Century Gothic"/>
          <w:sz w:val="20"/>
          <w:szCs w:val="20"/>
          <w:vertAlign w:val="superscript"/>
        </w:rPr>
        <w:t>1</w:t>
      </w:r>
      <w:r w:rsidRPr="48018F46" w:rsidR="5A774594">
        <w:rPr>
          <w:rFonts w:ascii="Century Gothic" w:hAnsi="Century Gothic"/>
          <w:sz w:val="20"/>
          <w:szCs w:val="20"/>
        </w:rPr>
        <w:t xml:space="preserve">, </w:t>
      </w:r>
      <w:r w:rsidRPr="48018F46" w:rsidR="117C0A1B">
        <w:rPr>
          <w:rFonts w:ascii="Century Gothic" w:hAnsi="Century Gothic"/>
          <w:sz w:val="20"/>
          <w:szCs w:val="20"/>
        </w:rPr>
        <w:t>Edel Auh, MD</w:t>
      </w:r>
      <w:r w:rsidRPr="48018F46" w:rsidR="28490CBF">
        <w:rPr>
          <w:rFonts w:ascii="Century Gothic" w:hAnsi="Century Gothic"/>
          <w:sz w:val="20"/>
          <w:szCs w:val="20"/>
          <w:vertAlign w:val="superscript"/>
        </w:rPr>
        <w:t>1</w:t>
      </w:r>
      <w:r w:rsidRPr="48018F46" w:rsidR="117C0A1B">
        <w:rPr>
          <w:rFonts w:ascii="Century Gothic" w:hAnsi="Century Gothic"/>
          <w:sz w:val="20"/>
          <w:szCs w:val="20"/>
        </w:rPr>
        <w:t xml:space="preserve">, </w:t>
      </w:r>
      <w:r w:rsidRPr="48018F46" w:rsidR="5A774594">
        <w:rPr>
          <w:rFonts w:ascii="Century Gothic" w:hAnsi="Century Gothic"/>
          <w:sz w:val="20"/>
          <w:szCs w:val="20"/>
        </w:rPr>
        <w:t>Kevin Leahy, MD</w:t>
      </w:r>
      <w:r w:rsidRPr="48018F46" w:rsidR="1C21AE6F">
        <w:rPr>
          <w:rFonts w:ascii="Century Gothic" w:hAnsi="Century Gothic"/>
          <w:sz w:val="20"/>
          <w:szCs w:val="20"/>
          <w:vertAlign w:val="superscript"/>
        </w:rPr>
        <w:t>1</w:t>
      </w:r>
      <w:r w:rsidRPr="48018F46" w:rsidR="5A774594">
        <w:rPr>
          <w:rFonts w:ascii="Century Gothic" w:hAnsi="Century Gothic"/>
          <w:sz w:val="20"/>
          <w:szCs w:val="20"/>
        </w:rPr>
        <w:t>, Jason Edwards, DO</w:t>
      </w:r>
      <w:r w:rsidRPr="48018F46" w:rsidR="76484ED5">
        <w:rPr>
          <w:rFonts w:ascii="Century Gothic" w:hAnsi="Century Gothic"/>
          <w:sz w:val="20"/>
          <w:szCs w:val="20"/>
          <w:vertAlign w:val="superscript"/>
        </w:rPr>
        <w:t>1</w:t>
      </w:r>
    </w:p>
    <w:p w:rsidR="76484ED5" w:rsidP="48018F46" w:rsidRDefault="76484ED5" w14:paraId="32C7BE87" w14:textId="0716F229">
      <w:pPr>
        <w:pStyle w:val="ListParagraph"/>
        <w:numPr>
          <w:ilvl w:val="0"/>
          <w:numId w:val="5"/>
        </w:numPr>
        <w:rPr>
          <w:rFonts w:ascii="Century Gothic" w:hAnsi="Century Gothic" w:eastAsia="Aptos"/>
          <w:b w:val="0"/>
          <w:bCs w:val="0"/>
          <w:noProof w:val="0"/>
          <w:sz w:val="20"/>
          <w:szCs w:val="20"/>
          <w:lang w:val="en-US"/>
        </w:rPr>
      </w:pPr>
      <w:r w:rsidRPr="48018F46" w:rsidR="76484ED5">
        <w:rPr>
          <w:rFonts w:ascii="Century Gothic" w:hAnsi="Century Gothic" w:eastAsia="Aptos"/>
          <w:b w:val="0"/>
          <w:bCs w:val="0"/>
          <w:i w:val="0"/>
          <w:iCs w:val="0"/>
          <w:caps w:val="0"/>
          <w:smallCaps w:val="0"/>
          <w:noProof w:val="0"/>
          <w:sz w:val="20"/>
          <w:szCs w:val="20"/>
          <w:lang w:val="en-US"/>
        </w:rPr>
        <w:t>Northwestern McGaw/Shirley Ryan AbilityLab, Chicago, IL, USA</w:t>
      </w:r>
    </w:p>
    <w:p w:rsidRPr="002B1014" w:rsidR="002B1014" w:rsidP="002B1014" w:rsidRDefault="002B1014" w14:paraId="6029A531" w14:textId="1948BAC5">
      <w:pPr>
        <w:rPr>
          <w:rFonts w:ascii="Century Gothic" w:hAnsi="Century Gothic"/>
          <w:b/>
          <w:bCs/>
          <w:sz w:val="20"/>
          <w:szCs w:val="20"/>
        </w:rPr>
      </w:pPr>
      <w:r w:rsidRPr="002B1014">
        <w:rPr>
          <w:rFonts w:ascii="Century Gothic" w:hAnsi="Century Gothic"/>
          <w:b/>
          <w:bCs/>
          <w:sz w:val="20"/>
          <w:szCs w:val="20"/>
        </w:rPr>
        <w:t>Abstract</w:t>
      </w:r>
    </w:p>
    <w:p w:rsidR="00B42149" w:rsidP="002B1014" w:rsidRDefault="002B1014" w14:paraId="1D1646F7" w14:textId="2AD7A12B">
      <w:pPr>
        <w:rPr>
          <w:rFonts w:ascii="Century Gothic" w:hAnsi="Century Gothic"/>
          <w:sz w:val="20"/>
          <w:szCs w:val="20"/>
          <w:u w:val="single"/>
        </w:rPr>
      </w:pPr>
      <w:r w:rsidRPr="002B1014">
        <w:rPr>
          <w:rFonts w:ascii="Century Gothic" w:hAnsi="Century Gothic"/>
          <w:sz w:val="20"/>
          <w:szCs w:val="20"/>
          <w:u w:val="single"/>
        </w:rPr>
        <w:t>Introduction</w:t>
      </w:r>
      <w:r w:rsidR="00B42149">
        <w:rPr>
          <w:rFonts w:ascii="Century Gothic" w:hAnsi="Century Gothic"/>
          <w:sz w:val="20"/>
          <w:szCs w:val="20"/>
          <w:u w:val="single"/>
        </w:rPr>
        <w:t>/Background</w:t>
      </w:r>
    </w:p>
    <w:p w:rsidRPr="00F67F5D" w:rsidR="00B42149" w:rsidP="002B1014" w:rsidRDefault="00B42149" w14:paraId="24638641" w14:textId="422D04D4">
      <w:pPr>
        <w:rPr>
          <w:rFonts w:ascii="Century Gothic" w:hAnsi="Century Gothic"/>
          <w:sz w:val="20"/>
          <w:szCs w:val="20"/>
        </w:rPr>
      </w:pPr>
      <w:r w:rsidRPr="48018F46" w:rsidR="3ED553BA">
        <w:rPr>
          <w:rFonts w:ascii="Century Gothic" w:hAnsi="Century Gothic"/>
          <w:sz w:val="20"/>
          <w:szCs w:val="20"/>
        </w:rPr>
        <w:t xml:space="preserve">Spasticity occurs in a variety of central nervous system (CNS) disorders and may contribute to impaired mobility, pain, difficulty with activities of daily living (ADLs) and positioning, and reduced quality of life. Oral </w:t>
      </w:r>
      <w:r w:rsidRPr="48018F46" w:rsidR="3ED553BA">
        <w:rPr>
          <w:rFonts w:ascii="Century Gothic" w:hAnsi="Century Gothic"/>
          <w:sz w:val="20"/>
          <w:szCs w:val="20"/>
        </w:rPr>
        <w:t xml:space="preserve">pharmacologic agents are commonly used in the management of spasticity. However, the evidence supporting these medications varies across neurologic populations, dosing regimens, treatment </w:t>
      </w:r>
      <w:r w:rsidRPr="48018F46" w:rsidR="414BE1E7">
        <w:rPr>
          <w:rFonts w:ascii="Century Gothic" w:hAnsi="Century Gothic"/>
          <w:sz w:val="20"/>
          <w:szCs w:val="20"/>
        </w:rPr>
        <w:t>durations,</w:t>
      </w:r>
      <w:r w:rsidRPr="48018F46" w:rsidR="3ED553BA">
        <w:rPr>
          <w:rFonts w:ascii="Century Gothic" w:hAnsi="Century Gothic"/>
          <w:sz w:val="20"/>
          <w:szCs w:val="20"/>
        </w:rPr>
        <w:t xml:space="preserve"> and clinical outcomes.</w:t>
      </w:r>
    </w:p>
    <w:p w:rsidRPr="00F67F5D" w:rsidR="00B42149" w:rsidP="002B1014" w:rsidRDefault="00B42149" w14:paraId="3F736AD0" w14:textId="21F0985F">
      <w:pPr>
        <w:rPr>
          <w:rFonts w:ascii="Century Gothic" w:hAnsi="Century Gothic"/>
          <w:sz w:val="20"/>
          <w:szCs w:val="20"/>
          <w:u w:val="single"/>
        </w:rPr>
      </w:pPr>
      <w:r w:rsidRPr="00F67F5D">
        <w:rPr>
          <w:rFonts w:ascii="Century Gothic" w:hAnsi="Century Gothic"/>
          <w:sz w:val="20"/>
          <w:szCs w:val="20"/>
          <w:u w:val="single"/>
        </w:rPr>
        <w:t>Objective</w:t>
      </w:r>
    </w:p>
    <w:p w:rsidRPr="00F67F5D" w:rsidR="00B42149" w:rsidP="002B1014" w:rsidRDefault="00B42149" w14:paraId="4879D223" w14:textId="4460C006">
      <w:pPr>
        <w:rPr>
          <w:rFonts w:ascii="Century Gothic" w:hAnsi="Century Gothic"/>
          <w:sz w:val="20"/>
          <w:szCs w:val="20"/>
        </w:rPr>
      </w:pPr>
      <w:r w:rsidRPr="00F67F5D">
        <w:rPr>
          <w:rFonts w:ascii="Century Gothic" w:hAnsi="Century Gothic"/>
          <w:sz w:val="20"/>
          <w:szCs w:val="20"/>
        </w:rPr>
        <w:t>The objective of this scoping review is to characterize the available evidence regarding oral pharmacologic treatments used to manage spasticity in adults with neurologic disorders.</w:t>
      </w:r>
    </w:p>
    <w:p w:rsidRPr="00F67F5D" w:rsidR="002B1014" w:rsidP="002B1014" w:rsidRDefault="002B1014" w14:paraId="0BD1FA1B" w14:textId="0DB088B9">
      <w:pPr>
        <w:rPr>
          <w:rFonts w:ascii="Century Gothic" w:hAnsi="Century Gothic"/>
          <w:sz w:val="20"/>
          <w:szCs w:val="20"/>
          <w:u w:val="single"/>
        </w:rPr>
      </w:pPr>
      <w:r w:rsidRPr="00F67F5D">
        <w:rPr>
          <w:rFonts w:ascii="Century Gothic" w:hAnsi="Century Gothic"/>
          <w:sz w:val="20"/>
          <w:szCs w:val="20"/>
          <w:u w:val="single"/>
        </w:rPr>
        <w:t>Methods and Analysis</w:t>
      </w:r>
    </w:p>
    <w:p w:rsidRPr="00F67F5D" w:rsidR="00F67F5D" w:rsidP="002B1014" w:rsidRDefault="00F67F5D" w14:paraId="4D724A06" w14:textId="04815D3B">
      <w:pPr>
        <w:rPr>
          <w:rFonts w:ascii="Century Gothic" w:hAnsi="Century Gothic"/>
          <w:sz w:val="20"/>
          <w:szCs w:val="20"/>
        </w:rPr>
      </w:pPr>
      <w:r w:rsidRPr="48018F46" w:rsidR="3C795B80">
        <w:rPr>
          <w:rFonts w:ascii="Century Gothic" w:hAnsi="Century Gothic"/>
          <w:sz w:val="20"/>
          <w:szCs w:val="20"/>
        </w:rPr>
        <w:t xml:space="preserve">Primary studies evaluating oral pharmacologic treatment of spasticity in adults with </w:t>
      </w:r>
      <w:r w:rsidRPr="48018F46" w:rsidR="3C795B80">
        <w:rPr>
          <w:rFonts w:ascii="Century Gothic" w:hAnsi="Century Gothic"/>
          <w:sz w:val="20"/>
          <w:szCs w:val="20"/>
        </w:rPr>
        <w:t>acquired</w:t>
      </w:r>
      <w:r w:rsidRPr="48018F46" w:rsidR="3C795B80">
        <w:rPr>
          <w:rFonts w:ascii="Century Gothic" w:hAnsi="Century Gothic"/>
          <w:sz w:val="20"/>
          <w:szCs w:val="20"/>
        </w:rPr>
        <w:t xml:space="preserve"> neurologic disorders will be included. Following</w:t>
      </w:r>
      <w:r w:rsidRPr="48018F46" w:rsidR="3BECA001">
        <w:rPr>
          <w:rFonts w:ascii="Century Gothic" w:hAnsi="Century Gothic"/>
          <w:sz w:val="20"/>
          <w:szCs w:val="20"/>
        </w:rPr>
        <w:t xml:space="preserve"> the</w:t>
      </w:r>
      <w:r w:rsidRPr="48018F46" w:rsidR="3C795B80">
        <w:rPr>
          <w:rFonts w:ascii="Century Gothic" w:hAnsi="Century Gothic"/>
          <w:sz w:val="20"/>
          <w:szCs w:val="20"/>
        </w:rPr>
        <w:t xml:space="preserve"> </w:t>
      </w:r>
      <w:r w:rsidRPr="48018F46" w:rsidR="3BECA001">
        <w:rPr>
          <w:rFonts w:ascii="Century Gothic" w:hAnsi="Century Gothic"/>
          <w:sz w:val="20"/>
          <w:szCs w:val="20"/>
        </w:rPr>
        <w:t xml:space="preserve">Joanna Briggs Institute </w:t>
      </w:r>
      <w:r w:rsidRPr="48018F46" w:rsidR="3BECA001">
        <w:rPr>
          <w:rFonts w:ascii="Century Gothic" w:hAnsi="Century Gothic"/>
          <w:sz w:val="20"/>
          <w:szCs w:val="20"/>
        </w:rPr>
        <w:t>(</w:t>
      </w:r>
      <w:r w:rsidRPr="48018F46" w:rsidR="3C795B80">
        <w:rPr>
          <w:rFonts w:ascii="Century Gothic" w:hAnsi="Century Gothic"/>
          <w:sz w:val="20"/>
          <w:szCs w:val="20"/>
        </w:rPr>
        <w:t>JBI</w:t>
      </w:r>
      <w:r w:rsidRPr="48018F46" w:rsidR="3BECA001">
        <w:rPr>
          <w:rFonts w:ascii="Century Gothic" w:hAnsi="Century Gothic"/>
          <w:sz w:val="20"/>
          <w:szCs w:val="20"/>
        </w:rPr>
        <w:t>)</w:t>
      </w:r>
      <w:r w:rsidRPr="48018F46" w:rsidR="3C795B80">
        <w:rPr>
          <w:rFonts w:ascii="Century Gothic" w:hAnsi="Century Gothic"/>
          <w:sz w:val="20"/>
          <w:szCs w:val="20"/>
        </w:rPr>
        <w:t xml:space="preserve"> </w:t>
      </w:r>
      <w:r w:rsidRPr="48018F46" w:rsidR="3C795B80">
        <w:rPr>
          <w:rFonts w:ascii="Century Gothic" w:hAnsi="Century Gothic"/>
          <w:sz w:val="20"/>
          <w:szCs w:val="20"/>
        </w:rPr>
        <w:t>methodology</w:t>
      </w:r>
      <w:r w:rsidRPr="48018F46" w:rsidR="5F51E9EE">
        <w:rPr>
          <w:rFonts w:ascii="Century Gothic" w:hAnsi="Century Gothic"/>
          <w:sz w:val="20"/>
          <w:szCs w:val="20"/>
        </w:rPr>
        <w:t>,</w:t>
      </w:r>
      <w:r w:rsidRPr="48018F46" w:rsidR="5F51E9EE">
        <w:rPr>
          <w:rFonts w:ascii="Century Gothic" w:hAnsi="Century Gothic"/>
          <w:sz w:val="20"/>
          <w:szCs w:val="20"/>
        </w:rPr>
        <w:t xml:space="preserve"> </w:t>
      </w:r>
      <w:r w:rsidRPr="48018F46" w:rsidR="3C795B80">
        <w:rPr>
          <w:rFonts w:ascii="Century Gothic" w:hAnsi="Century Gothic"/>
          <w:sz w:val="20"/>
          <w:szCs w:val="20"/>
        </w:rPr>
        <w:t>MEDLINE, Embase, and CENTRAL will be searched. Two reviewers will independently screen studies, and data will be charted and descriptively summarized by medication, neurologic population, dosing, outcomes, and adverse effects.</w:t>
      </w:r>
    </w:p>
    <w:p w:rsidR="002B1014" w:rsidP="002B1014" w:rsidRDefault="002B1014" w14:paraId="66D8C82D" w14:textId="6DA0D0AC">
      <w:pPr>
        <w:rPr>
          <w:rFonts w:ascii="Century Gothic" w:hAnsi="Century Gothic"/>
          <w:sz w:val="20"/>
          <w:szCs w:val="20"/>
          <w:u w:val="single"/>
        </w:rPr>
      </w:pPr>
      <w:r w:rsidRPr="002B1014">
        <w:rPr>
          <w:rFonts w:ascii="Century Gothic" w:hAnsi="Century Gothic"/>
          <w:sz w:val="20"/>
          <w:szCs w:val="20"/>
          <w:u w:val="single"/>
        </w:rPr>
        <w:t>Keywords</w:t>
      </w:r>
    </w:p>
    <w:p w:rsidRPr="00B42149" w:rsidR="00B42149" w:rsidP="002B1014" w:rsidRDefault="00B42149" w14:paraId="3C67A26C" w14:textId="698098D5">
      <w:pPr>
        <w:rPr>
          <w:rFonts w:ascii="Century Gothic" w:hAnsi="Century Gothic"/>
          <w:sz w:val="20"/>
          <w:szCs w:val="20"/>
        </w:rPr>
      </w:pPr>
      <w:r>
        <w:rPr>
          <w:rFonts w:ascii="Century Gothic" w:hAnsi="Century Gothic"/>
          <w:sz w:val="20"/>
          <w:szCs w:val="20"/>
        </w:rPr>
        <w:t>Spasticity; Antispasmodic Agents; Neurologic Disorders; Pharmacologic Treatment</w:t>
      </w:r>
    </w:p>
    <w:p w:rsidRPr="002B1014" w:rsidR="002B1014" w:rsidP="002B1014" w:rsidRDefault="002B1014" w14:paraId="6328635A" w14:textId="31B576DD">
      <w:pPr>
        <w:rPr>
          <w:rFonts w:ascii="Century Gothic" w:hAnsi="Century Gothic"/>
          <w:b/>
          <w:bCs/>
          <w:sz w:val="20"/>
          <w:szCs w:val="20"/>
        </w:rPr>
      </w:pPr>
      <w:r w:rsidRPr="002B1014">
        <w:rPr>
          <w:rFonts w:ascii="Century Gothic" w:hAnsi="Century Gothic"/>
          <w:b/>
          <w:bCs/>
          <w:sz w:val="20"/>
          <w:szCs w:val="20"/>
        </w:rPr>
        <w:t>Introduction</w:t>
      </w:r>
    </w:p>
    <w:p w:rsidRPr="002B1014" w:rsidR="002B1014" w:rsidP="002B1014" w:rsidRDefault="002B1014" w14:paraId="3142055E" w14:textId="1A91BAD2">
      <w:pPr>
        <w:rPr>
          <w:rFonts w:ascii="Century Gothic" w:hAnsi="Century Gothic"/>
          <w:sz w:val="20"/>
          <w:szCs w:val="20"/>
          <w:u w:val="single"/>
        </w:rPr>
      </w:pPr>
      <w:r w:rsidRPr="002B1014">
        <w:rPr>
          <w:rFonts w:ascii="Century Gothic" w:hAnsi="Century Gothic"/>
          <w:sz w:val="20"/>
          <w:szCs w:val="20"/>
          <w:u w:val="single"/>
        </w:rPr>
        <w:t>Rationale</w:t>
      </w:r>
    </w:p>
    <w:p w:rsidRPr="002B1014" w:rsidR="002B1014" w:rsidP="002B1014" w:rsidRDefault="002B1014" w14:paraId="63B8D42B" w14:textId="3C80CBFC">
      <w:pPr>
        <w:rPr>
          <w:rFonts w:ascii="Century Gothic" w:hAnsi="Century Gothic"/>
          <w:sz w:val="20"/>
          <w:szCs w:val="20"/>
        </w:rPr>
      </w:pPr>
      <w:r w:rsidRPr="002B1014">
        <w:rPr>
          <w:rFonts w:ascii="Century Gothic" w:hAnsi="Century Gothic"/>
          <w:sz w:val="20"/>
          <w:szCs w:val="20"/>
        </w:rPr>
        <w:t>Spasticity is a component of the upper motor neuron syndrome that occurs following injury or disease affecting the central nervous system (CNS)</w:t>
      </w:r>
      <w:r w:rsidR="008B4920">
        <w:rPr>
          <w:rFonts w:ascii="Century Gothic" w:hAnsi="Century Gothic"/>
          <w:sz w:val="20"/>
          <w:szCs w:val="20"/>
        </w:rPr>
        <w:t xml:space="preserve"> </w:t>
      </w:r>
      <w:r w:rsidRPr="002B1014">
        <w:rPr>
          <w:rFonts w:ascii="Century Gothic" w:hAnsi="Century Gothic"/>
          <w:sz w:val="20"/>
          <w:szCs w:val="20"/>
        </w:rPr>
        <w:fldChar w:fldCharType="begin"/>
      </w:r>
      <w:r w:rsidRPr="002B1014">
        <w:rPr>
          <w:rFonts w:ascii="Century Gothic" w:hAnsi="Century Gothic"/>
          <w:sz w:val="20"/>
          <w:szCs w:val="20"/>
        </w:rPr>
        <w:instrText xml:space="preserve"> ADDIN ZOTERO_ITEM CSL_CITATION {"citationID":"XWYtnl1T","properties":{"formattedCitation":"(Thibaut et al., 2013)","plainCitation":"(Thibaut et al., 2013)","noteIndex":0},"citationItems":[{"id":120,"uris":["http://zotero.org/users/16291027/items/SFV9D6U3"],"itemData":{"id":120,"type":"article-journal","container-title":"Brain Injury","DOI":"10.3109/02699052.2013.804202","ISSN":"0269-9052, 1362-301X","issue":"10","journalAbbreviation":"Brain Injury","language":"en","page":"1093-1105","source":"DOI.org (Crossref)","title":"Spasticity after stroke: Physiology, assessment and treatment","title-short":"Spasticity after stroke","volume":"27","author":[{"family":"Thibaut","given":"Aurore"},{"family":"Chatelle","given":"Camille"},{"family":"Ziegler","given":"Erik"},{"family":"Bruno","given":"Marie-Aurélie"},{"family":"Laureys","given":"Steven"},{"family":"Gosseries","given":"Olivia"}],"issued":{"date-parts":[["2013",9,1]]}}}],"schema":"https://github.com/citation-style-language/schema/raw/master/csl-citation.json"} </w:instrText>
      </w:r>
      <w:r w:rsidRPr="002B1014">
        <w:rPr>
          <w:rFonts w:ascii="Century Gothic" w:hAnsi="Century Gothic"/>
          <w:sz w:val="20"/>
          <w:szCs w:val="20"/>
        </w:rPr>
        <w:fldChar w:fldCharType="separate"/>
      </w:r>
      <w:r w:rsidRPr="002B1014">
        <w:rPr>
          <w:rFonts w:ascii="Century Gothic" w:hAnsi="Century Gothic"/>
          <w:noProof/>
          <w:sz w:val="20"/>
          <w:szCs w:val="20"/>
        </w:rPr>
        <w:t>(Thibaut et al., 2013)</w:t>
      </w:r>
      <w:r w:rsidRPr="002B1014">
        <w:rPr>
          <w:rFonts w:ascii="Century Gothic" w:hAnsi="Century Gothic"/>
          <w:sz w:val="20"/>
          <w:szCs w:val="20"/>
        </w:rPr>
        <w:fldChar w:fldCharType="end"/>
      </w:r>
      <w:r w:rsidRPr="002B1014">
        <w:rPr>
          <w:rFonts w:ascii="Century Gothic" w:hAnsi="Century Gothic"/>
          <w:sz w:val="20"/>
          <w:szCs w:val="20"/>
        </w:rPr>
        <w:t xml:space="preserve">. Neurologic conditions where spasticity is seen include stroke, traumatic/acquired brain injury, multiple sclerosis, and hypoxic-ischemic brain injury. Problematic spasticity can contribute to pain, impaired mobility, difficulty with positioning and hygiene, limitations in activities of daily living participation, sleep disturbance and reduced quality of life </w:t>
      </w:r>
      <w:r w:rsidRPr="002B1014">
        <w:rPr>
          <w:rFonts w:ascii="Century Gothic" w:hAnsi="Century Gothic"/>
          <w:sz w:val="20"/>
          <w:szCs w:val="20"/>
        </w:rPr>
        <w:fldChar w:fldCharType="begin"/>
      </w:r>
      <w:r w:rsidRPr="002B1014">
        <w:rPr>
          <w:rFonts w:ascii="Century Gothic" w:hAnsi="Century Gothic"/>
          <w:sz w:val="20"/>
          <w:szCs w:val="20"/>
        </w:rPr>
        <w:instrText xml:space="preserve"> ADDIN ZOTERO_ITEM CSL_CITATION {"citationID":"W3cGuh3b","properties":{"formattedCitation":"(Thibaut et al., 2013)","plainCitation":"(Thibaut et al., 2013)","noteIndex":0},"citationItems":[{"id":120,"uris":["http://zotero.org/users/16291027/items/SFV9D6U3"],"itemData":{"id":120,"type":"article-journal","container-title":"Brain Injury","DOI":"10.3109/02699052.2013.804202","ISSN":"0269-9052, 1362-301X","issue":"10","journalAbbreviation":"Brain Injury","language":"en","page":"1093-1105","source":"DOI.org (Crossref)","title":"Spasticity after stroke: Physiology, assessment and treatment","title-short":"Spasticity after stroke","volume":"27","author":[{"family":"Thibaut","given":"Aurore"},{"family":"Chatelle","given":"Camille"},{"family":"Ziegler","given":"Erik"},{"family":"Bruno","given":"Marie-Aurélie"},{"family":"Laureys","given":"Steven"},{"family":"Gosseries","given":"Olivia"}],"issued":{"date-parts":[["2013",9,1]]}}}],"schema":"https://github.com/citation-style-language/schema/raw/master/csl-citation.json"} </w:instrText>
      </w:r>
      <w:r w:rsidRPr="002B1014">
        <w:rPr>
          <w:rFonts w:ascii="Century Gothic" w:hAnsi="Century Gothic"/>
          <w:sz w:val="20"/>
          <w:szCs w:val="20"/>
        </w:rPr>
        <w:fldChar w:fldCharType="separate"/>
      </w:r>
      <w:r w:rsidRPr="002B1014">
        <w:rPr>
          <w:rFonts w:ascii="Century Gothic" w:hAnsi="Century Gothic"/>
          <w:noProof/>
          <w:sz w:val="20"/>
          <w:szCs w:val="20"/>
        </w:rPr>
        <w:t>(Thibaut et al., 2013)</w:t>
      </w:r>
      <w:r w:rsidRPr="002B1014">
        <w:rPr>
          <w:rFonts w:ascii="Century Gothic" w:hAnsi="Century Gothic"/>
          <w:sz w:val="20"/>
          <w:szCs w:val="20"/>
        </w:rPr>
        <w:fldChar w:fldCharType="end"/>
      </w:r>
      <w:r w:rsidRPr="002B1014">
        <w:rPr>
          <w:rFonts w:ascii="Century Gothic" w:hAnsi="Century Gothic"/>
          <w:sz w:val="20"/>
          <w:szCs w:val="20"/>
        </w:rPr>
        <w:t>.</w:t>
      </w:r>
    </w:p>
    <w:p w:rsidRPr="002B1014" w:rsidR="002B1014" w:rsidP="002B1014" w:rsidRDefault="002B1014" w14:paraId="44B05335" w14:textId="272A7A0E">
      <w:pPr>
        <w:rPr>
          <w:rFonts w:ascii="Century Gothic" w:hAnsi="Century Gothic"/>
          <w:sz w:val="20"/>
          <w:szCs w:val="20"/>
        </w:rPr>
      </w:pPr>
      <w:r w:rsidRPr="002B1014">
        <w:rPr>
          <w:rFonts w:ascii="Century Gothic" w:hAnsi="Century Gothic"/>
          <w:sz w:val="20"/>
          <w:szCs w:val="20"/>
        </w:rPr>
        <w:t xml:space="preserve">Management of spasticity is individualized and </w:t>
      </w:r>
      <w:r w:rsidR="005E65B2">
        <w:rPr>
          <w:rFonts w:ascii="Century Gothic" w:hAnsi="Century Gothic"/>
          <w:sz w:val="20"/>
          <w:szCs w:val="20"/>
        </w:rPr>
        <w:t>typically</w:t>
      </w:r>
      <w:r w:rsidRPr="002B1014">
        <w:rPr>
          <w:rFonts w:ascii="Century Gothic" w:hAnsi="Century Gothic"/>
          <w:sz w:val="20"/>
          <w:szCs w:val="20"/>
        </w:rPr>
        <w:t xml:space="preserve"> incorporate</w:t>
      </w:r>
      <w:r w:rsidR="005E65B2">
        <w:rPr>
          <w:rFonts w:ascii="Century Gothic" w:hAnsi="Century Gothic"/>
          <w:sz w:val="20"/>
          <w:szCs w:val="20"/>
        </w:rPr>
        <w:t>s</w:t>
      </w:r>
      <w:r w:rsidRPr="002B1014">
        <w:rPr>
          <w:rFonts w:ascii="Century Gothic" w:hAnsi="Century Gothic"/>
          <w:sz w:val="20"/>
          <w:szCs w:val="20"/>
        </w:rPr>
        <w:t xml:space="preserve"> rehabilitation interventions, oral medications, focal </w:t>
      </w:r>
      <w:proofErr w:type="spellStart"/>
      <w:r w:rsidRPr="002B1014">
        <w:rPr>
          <w:rFonts w:ascii="Century Gothic" w:hAnsi="Century Gothic"/>
          <w:sz w:val="20"/>
          <w:szCs w:val="20"/>
        </w:rPr>
        <w:t>chemodenervation</w:t>
      </w:r>
      <w:proofErr w:type="spellEnd"/>
      <w:r w:rsidRPr="002B1014">
        <w:rPr>
          <w:rFonts w:ascii="Century Gothic" w:hAnsi="Century Gothic"/>
          <w:sz w:val="20"/>
          <w:szCs w:val="20"/>
        </w:rPr>
        <w:t xml:space="preserve">, intrathecal medications, and surgical interventions. Oral pharmacologic agents are frequently used, particularly when spasticity is generalized or multifocal. Commonly used medications include baclofen, tizanidine, dantrolene, benzodiazepines, gabapentin, and other agents with </w:t>
      </w:r>
      <w:proofErr w:type="spellStart"/>
      <w:r w:rsidRPr="002B1014">
        <w:rPr>
          <w:rFonts w:ascii="Century Gothic" w:hAnsi="Century Gothic"/>
          <w:sz w:val="20"/>
          <w:szCs w:val="20"/>
        </w:rPr>
        <w:t>antispasticity</w:t>
      </w:r>
      <w:proofErr w:type="spellEnd"/>
      <w:r w:rsidRPr="002B1014">
        <w:rPr>
          <w:rFonts w:ascii="Century Gothic" w:hAnsi="Century Gothic"/>
          <w:sz w:val="20"/>
          <w:szCs w:val="20"/>
        </w:rPr>
        <w:t xml:space="preserve"> properties </w:t>
      </w:r>
      <w:r w:rsidRPr="002B1014">
        <w:rPr>
          <w:rFonts w:ascii="Century Gothic" w:hAnsi="Century Gothic"/>
          <w:sz w:val="20"/>
          <w:szCs w:val="20"/>
        </w:rPr>
        <w:fldChar w:fldCharType="begin"/>
      </w:r>
      <w:r w:rsidRPr="002B1014">
        <w:rPr>
          <w:rFonts w:ascii="Century Gothic" w:hAnsi="Century Gothic"/>
          <w:sz w:val="20"/>
          <w:szCs w:val="20"/>
        </w:rPr>
        <w:instrText xml:space="preserve"> ADDIN ZOTERO_ITEM CSL_CITATION {"citationID":"3MiayR0P","properties":{"formattedCitation":"(Chang et al., 2013)","plainCitation":"(Chang et al., 2013)","noteIndex":0},"citationItems":[{"id":122,"uris":["http://zotero.org/users/16291027/items/8B83E6HW"],"itemData":{"id":122,"type":"article-journal","container-title":"Critical Reviews in Physical and Rehabilitation Medicine","DOI":"10.1615/CritRevPhysRehabilMed.2013007945","ISSN":"0896-2960","issue":"1-2","journalAbbreviation":"Crit Rev Phys Rehabil Med","language":"en","page":"11-22","source":"DOI.org (Crossref)","title":"A Review of Spasticity Treatments: Pharmacological and Interventional Approaches","title-short":"A Review of Spasticity Treatments","volume":"25","author":[{"family":"Chang","given":"Eric"},{"family":"Ghosh","given":"Nilasha"},{"family":"Yanni","given":"Daniel"},{"family":"Lee","given":"Sujin"},{"family":"Alexandru","given":"Daniela"},{"family":"Mozaffar","given":"Tahseen"}],"issued":{"date-parts":[["2013"]]}}}],"schema":"https://github.com/citation-style-language/schema/raw/master/csl-citation.json"} </w:instrText>
      </w:r>
      <w:r w:rsidRPr="002B1014">
        <w:rPr>
          <w:rFonts w:ascii="Century Gothic" w:hAnsi="Century Gothic"/>
          <w:sz w:val="20"/>
          <w:szCs w:val="20"/>
        </w:rPr>
        <w:fldChar w:fldCharType="separate"/>
      </w:r>
      <w:r w:rsidRPr="002B1014">
        <w:rPr>
          <w:rFonts w:ascii="Century Gothic" w:hAnsi="Century Gothic"/>
          <w:noProof/>
          <w:sz w:val="20"/>
          <w:szCs w:val="20"/>
        </w:rPr>
        <w:t>(Chang et al., 2013)</w:t>
      </w:r>
      <w:r w:rsidRPr="002B1014">
        <w:rPr>
          <w:rFonts w:ascii="Century Gothic" w:hAnsi="Century Gothic"/>
          <w:sz w:val="20"/>
          <w:szCs w:val="20"/>
        </w:rPr>
        <w:fldChar w:fldCharType="end"/>
      </w:r>
      <w:r w:rsidRPr="002B1014">
        <w:rPr>
          <w:rFonts w:ascii="Century Gothic" w:hAnsi="Century Gothic"/>
          <w:sz w:val="20"/>
          <w:szCs w:val="20"/>
        </w:rPr>
        <w:t>.</w:t>
      </w:r>
    </w:p>
    <w:p w:rsidRPr="002B1014" w:rsidR="002B1014" w:rsidP="002B1014" w:rsidRDefault="002B1014" w14:paraId="3B74ED13" w14:textId="29E7CBC3">
      <w:pPr>
        <w:rPr>
          <w:rFonts w:ascii="Century Gothic" w:hAnsi="Century Gothic"/>
          <w:sz w:val="20"/>
          <w:szCs w:val="20"/>
        </w:rPr>
      </w:pPr>
      <w:r w:rsidRPr="002B1014">
        <w:rPr>
          <w:rFonts w:ascii="Century Gothic" w:hAnsi="Century Gothic"/>
          <w:sz w:val="20"/>
          <w:szCs w:val="20"/>
        </w:rPr>
        <w:t xml:space="preserve">Despite widespread clinical use, the evidence supporting individual medications varies </w:t>
      </w:r>
      <w:r w:rsidRPr="002B1014" w:rsidR="005E65B2">
        <w:rPr>
          <w:rFonts w:ascii="Century Gothic" w:hAnsi="Century Gothic"/>
          <w:sz w:val="20"/>
          <w:szCs w:val="20"/>
        </w:rPr>
        <w:t>significantly</w:t>
      </w:r>
      <w:r w:rsidRPr="002B1014">
        <w:rPr>
          <w:rFonts w:ascii="Century Gothic" w:hAnsi="Century Gothic"/>
          <w:sz w:val="20"/>
          <w:szCs w:val="20"/>
        </w:rPr>
        <w:t xml:space="preserve">. </w:t>
      </w:r>
      <w:r w:rsidRPr="008B4920" w:rsidR="008B4920">
        <w:rPr>
          <w:rFonts w:ascii="Century Gothic" w:hAnsi="Century Gothic"/>
          <w:sz w:val="20"/>
          <w:szCs w:val="20"/>
        </w:rPr>
        <w:t>Studies vary in neurologic population, medication, dosing regimen, treatment duration, measures of spasticity, functional outcomes, and reporting of adverse effects.</w:t>
      </w:r>
      <w:r w:rsidRPr="002B1014">
        <w:rPr>
          <w:rFonts w:ascii="Century Gothic" w:hAnsi="Century Gothic"/>
          <w:sz w:val="20"/>
          <w:szCs w:val="20"/>
        </w:rPr>
        <w:t xml:space="preserve"> Furthermore, reduction in muscle tone does not </w:t>
      </w:r>
      <w:r w:rsidRPr="002B1014">
        <w:rPr>
          <w:rFonts w:ascii="Century Gothic" w:hAnsi="Century Gothic"/>
          <w:sz w:val="20"/>
          <w:szCs w:val="20"/>
        </w:rPr>
        <w:lastRenderedPageBreak/>
        <w:t xml:space="preserve">necessarily correspond to improvements in function or other patient-centered outcomes </w:t>
      </w:r>
      <w:r w:rsidRPr="002B1014">
        <w:rPr>
          <w:rFonts w:ascii="Century Gothic" w:hAnsi="Century Gothic"/>
          <w:sz w:val="20"/>
          <w:szCs w:val="20"/>
        </w:rPr>
        <w:fldChar w:fldCharType="begin"/>
      </w:r>
      <w:r w:rsidRPr="002B1014">
        <w:rPr>
          <w:rFonts w:ascii="Century Gothic" w:hAnsi="Century Gothic"/>
          <w:sz w:val="20"/>
          <w:szCs w:val="20"/>
        </w:rPr>
        <w:instrText xml:space="preserve"> ADDIN ZOTERO_ITEM CSL_CITATION {"citationID":"KSKpzrGb","properties":{"formattedCitation":"(Chang et al., 2013)","plainCitation":"(Chang et al., 2013)","noteIndex":0},"citationItems":[{"id":122,"uris":["http://zotero.org/users/16291027/items/8B83E6HW"],"itemData":{"id":122,"type":"article-journal","container-title":"Critical Reviews in Physical and Rehabilitation Medicine","DOI":"10.1615/CritRevPhysRehabilMed.2013007945","ISSN":"0896-2960","issue":"1-2","journalAbbreviation":"Crit Rev Phys Rehabil Med","language":"en","page":"11-22","source":"DOI.org (Crossref)","title":"A Review of Spasticity Treatments: Pharmacological and Interventional Approaches","title-short":"A Review of Spasticity Treatments","volume":"25","author":[{"family":"Chang","given":"Eric"},{"family":"Ghosh","given":"Nilasha"},{"family":"Yanni","given":"Daniel"},{"family":"Lee","given":"Sujin"},{"family":"Alexandru","given":"Daniela"},{"family":"Mozaffar","given":"Tahseen"}],"issued":{"date-parts":[["2013"]]}}}],"schema":"https://github.com/citation-style-language/schema/raw/master/csl-citation.json"} </w:instrText>
      </w:r>
      <w:r w:rsidRPr="002B1014">
        <w:rPr>
          <w:rFonts w:ascii="Century Gothic" w:hAnsi="Century Gothic"/>
          <w:sz w:val="20"/>
          <w:szCs w:val="20"/>
        </w:rPr>
        <w:fldChar w:fldCharType="separate"/>
      </w:r>
      <w:r w:rsidRPr="002B1014">
        <w:rPr>
          <w:rFonts w:ascii="Century Gothic" w:hAnsi="Century Gothic"/>
          <w:noProof/>
          <w:sz w:val="20"/>
          <w:szCs w:val="20"/>
        </w:rPr>
        <w:t>(Chang et al., 2013)</w:t>
      </w:r>
      <w:r w:rsidRPr="002B1014">
        <w:rPr>
          <w:rFonts w:ascii="Century Gothic" w:hAnsi="Century Gothic"/>
          <w:sz w:val="20"/>
          <w:szCs w:val="20"/>
        </w:rPr>
        <w:fldChar w:fldCharType="end"/>
      </w:r>
      <w:r w:rsidRPr="002B1014">
        <w:rPr>
          <w:rFonts w:ascii="Century Gothic" w:hAnsi="Century Gothic"/>
          <w:sz w:val="20"/>
          <w:szCs w:val="20"/>
        </w:rPr>
        <w:t xml:space="preserve"> </w:t>
      </w:r>
      <w:r w:rsidRPr="002B1014">
        <w:rPr>
          <w:rFonts w:ascii="Century Gothic" w:hAnsi="Century Gothic"/>
          <w:sz w:val="20"/>
          <w:szCs w:val="20"/>
        </w:rPr>
        <w:fldChar w:fldCharType="begin"/>
      </w:r>
      <w:r w:rsidRPr="002B1014">
        <w:rPr>
          <w:rFonts w:ascii="Century Gothic" w:hAnsi="Century Gothic"/>
          <w:sz w:val="20"/>
          <w:szCs w:val="20"/>
        </w:rPr>
        <w:instrText xml:space="preserve"> ADDIN ZOTERO_ITEM CSL_CITATION {"citationID":"QeDj8Ltt","properties":{"formattedCitation":"(Montan\\uc0\\u233{} et al., 2004)","plainCitation":"(Montané et al., 2004)","noteIndex":0},"citationItems":[{"id":123,"uris":["http://zotero.org/users/16291027/items/GV8KME55"],"itemData":{"id":123,"type":"article-journal","container-title":"Neurology","DOI":"10.1212/01.WNL.0000141863.52691.44","ISSN":"0028-3878, 1526-632X","issue":"8","journalAbbreviation":"Neurology","language":"en","page":"1357-1363","source":"DOI.org (Crossref)","title":"Oral antispastic drugs in nonprogressive neurologic diseases: A systematic review","title-short":"Oral antispastic drugs in nonprogressive neurologic diseases","volume":"63","author":[{"family":"Montané","given":"E."},{"family":"Vallano","given":"A."},{"family":"Laporte","given":"J. R."}],"issued":{"date-parts":[["2004",10,26]]}}}],"schema":"https://github.com/citation-style-language/schema/raw/master/csl-citation.json"} </w:instrText>
      </w:r>
      <w:r w:rsidRPr="002B1014">
        <w:rPr>
          <w:rFonts w:ascii="Century Gothic" w:hAnsi="Century Gothic"/>
          <w:sz w:val="20"/>
          <w:szCs w:val="20"/>
        </w:rPr>
        <w:fldChar w:fldCharType="separate"/>
      </w:r>
      <w:r w:rsidRPr="002B1014">
        <w:rPr>
          <w:rFonts w:ascii="Century Gothic" w:hAnsi="Century Gothic" w:cs="Times New Roman"/>
          <w:kern w:val="0"/>
          <w:sz w:val="20"/>
          <w:szCs w:val="20"/>
        </w:rPr>
        <w:t>(Montané et al., 2004)</w:t>
      </w:r>
      <w:r w:rsidRPr="002B1014">
        <w:rPr>
          <w:rFonts w:ascii="Century Gothic" w:hAnsi="Century Gothic"/>
          <w:sz w:val="20"/>
          <w:szCs w:val="20"/>
        </w:rPr>
        <w:fldChar w:fldCharType="end"/>
      </w:r>
      <w:r w:rsidRPr="002B1014">
        <w:rPr>
          <w:rFonts w:ascii="Century Gothic" w:hAnsi="Century Gothic"/>
          <w:sz w:val="20"/>
          <w:szCs w:val="20"/>
        </w:rPr>
        <w:t>.</w:t>
      </w:r>
    </w:p>
    <w:p w:rsidRPr="002B1014" w:rsidR="002B1014" w:rsidP="002B1014" w:rsidRDefault="002B1014" w14:paraId="0FB7BD0F" w14:textId="3F7EF0F5">
      <w:pPr>
        <w:rPr>
          <w:rFonts w:ascii="Century Gothic" w:hAnsi="Century Gothic"/>
          <w:sz w:val="20"/>
          <w:szCs w:val="20"/>
        </w:rPr>
      </w:pPr>
      <w:r w:rsidRPr="002B1014">
        <w:rPr>
          <w:rFonts w:ascii="Century Gothic" w:hAnsi="Century Gothic"/>
          <w:sz w:val="20"/>
          <w:szCs w:val="20"/>
        </w:rPr>
        <w:t xml:space="preserve">Given the extent and differences of the existing literature, a scoping review </w:t>
      </w:r>
      <w:r w:rsidR="008B4920">
        <w:rPr>
          <w:rFonts w:ascii="Century Gothic" w:hAnsi="Century Gothic"/>
          <w:sz w:val="20"/>
          <w:szCs w:val="20"/>
        </w:rPr>
        <w:t>will be</w:t>
      </w:r>
      <w:r w:rsidRPr="002B1014">
        <w:rPr>
          <w:rFonts w:ascii="Century Gothic" w:hAnsi="Century Gothic"/>
          <w:sz w:val="20"/>
          <w:szCs w:val="20"/>
        </w:rPr>
        <w:t xml:space="preserve"> performed to systematically map the available evidence, characterize how oral pharmacologic treatments have been studied across adult neurologic populations, and identify gaps in the literature.</w:t>
      </w:r>
    </w:p>
    <w:p w:rsidRPr="002B1014" w:rsidR="002B1014" w:rsidP="002B1014" w:rsidRDefault="002B1014" w14:paraId="12733F43" w14:textId="1B491A9F">
      <w:pPr>
        <w:rPr>
          <w:rFonts w:ascii="Century Gothic" w:hAnsi="Century Gothic"/>
          <w:sz w:val="20"/>
          <w:szCs w:val="20"/>
          <w:u w:val="single"/>
        </w:rPr>
      </w:pPr>
      <w:r w:rsidRPr="002B1014">
        <w:rPr>
          <w:rFonts w:ascii="Century Gothic" w:hAnsi="Century Gothic"/>
          <w:sz w:val="20"/>
          <w:szCs w:val="20"/>
          <w:u w:val="single"/>
        </w:rPr>
        <w:t>Objectives</w:t>
      </w:r>
    </w:p>
    <w:p w:rsidR="008B4920" w:rsidP="008B4920" w:rsidRDefault="005E65B2" w14:paraId="56D04938" w14:textId="77777777">
      <w:pPr>
        <w:rPr>
          <w:rFonts w:ascii="Century Gothic" w:hAnsi="Century Gothic"/>
          <w:sz w:val="20"/>
          <w:szCs w:val="20"/>
        </w:rPr>
      </w:pPr>
      <w:r w:rsidRPr="005E65B2">
        <w:rPr>
          <w:rFonts w:ascii="Century Gothic" w:hAnsi="Century Gothic"/>
          <w:sz w:val="20"/>
          <w:szCs w:val="20"/>
        </w:rPr>
        <w:t>The objective of this scoping review is to characterize the available evidence regarding oral pharmacologic treatments used to manage spasticity in adults with neurologic disorders.</w:t>
      </w:r>
      <w:r>
        <w:rPr>
          <w:rFonts w:ascii="Century Gothic" w:hAnsi="Century Gothic"/>
          <w:sz w:val="20"/>
          <w:szCs w:val="20"/>
        </w:rPr>
        <w:t xml:space="preserve"> </w:t>
      </w:r>
      <w:r w:rsidRPr="005E65B2">
        <w:rPr>
          <w:rFonts w:ascii="Century Gothic" w:hAnsi="Century Gothic"/>
          <w:sz w:val="20"/>
          <w:szCs w:val="20"/>
        </w:rPr>
        <w:t>The review will be guided by the JBI Population</w:t>
      </w:r>
      <w:r>
        <w:rPr>
          <w:rFonts w:ascii="Century Gothic" w:hAnsi="Century Gothic"/>
          <w:sz w:val="20"/>
          <w:szCs w:val="20"/>
        </w:rPr>
        <w:t>-C</w:t>
      </w:r>
      <w:r w:rsidRPr="005E65B2">
        <w:rPr>
          <w:rFonts w:ascii="Century Gothic" w:hAnsi="Century Gothic"/>
          <w:sz w:val="20"/>
          <w:szCs w:val="20"/>
        </w:rPr>
        <w:t>oncept</w:t>
      </w:r>
      <w:r>
        <w:rPr>
          <w:rFonts w:ascii="Century Gothic" w:hAnsi="Century Gothic"/>
          <w:sz w:val="20"/>
          <w:szCs w:val="20"/>
        </w:rPr>
        <w:t>-</w:t>
      </w:r>
      <w:r w:rsidRPr="005E65B2">
        <w:rPr>
          <w:rFonts w:ascii="Century Gothic" w:hAnsi="Century Gothic"/>
          <w:sz w:val="20"/>
          <w:szCs w:val="20"/>
        </w:rPr>
        <w:t>Context (PCC) framework. The population of interest is adults with spasticity secondary to an acquired neurologic disorder; the concept is oral pharmacologic treatment of spasticity; and the context includes any geographic location and clinical or community setting.</w:t>
      </w:r>
      <w:r w:rsidR="008B4920">
        <w:rPr>
          <w:rFonts w:ascii="Century Gothic" w:hAnsi="Century Gothic"/>
          <w:sz w:val="20"/>
          <w:szCs w:val="20"/>
        </w:rPr>
        <w:t xml:space="preserve"> The following questions will be addressed:</w:t>
      </w:r>
    </w:p>
    <w:p w:rsidR="008B4920" w:rsidP="008B4920" w:rsidRDefault="008B4920" w14:paraId="56FBE902" w14:textId="77777777">
      <w:pPr>
        <w:pStyle w:val="ListParagraph"/>
        <w:numPr>
          <w:ilvl w:val="0"/>
          <w:numId w:val="4"/>
        </w:numPr>
        <w:rPr>
          <w:rFonts w:ascii="Century Gothic" w:hAnsi="Century Gothic"/>
          <w:sz w:val="20"/>
          <w:szCs w:val="20"/>
        </w:rPr>
      </w:pPr>
      <w:r w:rsidRPr="008B4920">
        <w:rPr>
          <w:rFonts w:ascii="Century Gothic" w:hAnsi="Century Gothic"/>
          <w:sz w:val="20"/>
          <w:szCs w:val="20"/>
        </w:rPr>
        <w:t>What oral pharmacologic agents have been studied for the treatment of spasticity in adults?</w:t>
      </w:r>
    </w:p>
    <w:p w:rsidR="008B4920" w:rsidP="008B4920" w:rsidRDefault="008B4920" w14:paraId="0D4255CD" w14:textId="77777777">
      <w:pPr>
        <w:pStyle w:val="ListParagraph"/>
        <w:numPr>
          <w:ilvl w:val="0"/>
          <w:numId w:val="4"/>
        </w:numPr>
        <w:rPr>
          <w:rFonts w:ascii="Century Gothic" w:hAnsi="Century Gothic"/>
          <w:sz w:val="20"/>
          <w:szCs w:val="20"/>
        </w:rPr>
      </w:pPr>
      <w:r w:rsidRPr="008B4920">
        <w:rPr>
          <w:rFonts w:ascii="Century Gothic" w:hAnsi="Century Gothic"/>
          <w:sz w:val="20"/>
          <w:szCs w:val="20"/>
        </w:rPr>
        <w:t>What dosing regimens and treatment durations have been evaluated?</w:t>
      </w:r>
    </w:p>
    <w:p w:rsidR="008B4920" w:rsidP="008B4920" w:rsidRDefault="008B4920" w14:paraId="6F2A5A9C" w14:textId="77777777">
      <w:pPr>
        <w:pStyle w:val="ListParagraph"/>
        <w:numPr>
          <w:ilvl w:val="0"/>
          <w:numId w:val="4"/>
        </w:numPr>
        <w:rPr>
          <w:rFonts w:ascii="Century Gothic" w:hAnsi="Century Gothic"/>
          <w:sz w:val="20"/>
          <w:szCs w:val="20"/>
        </w:rPr>
      </w:pPr>
      <w:r w:rsidRPr="008B4920">
        <w:rPr>
          <w:rFonts w:ascii="Century Gothic" w:hAnsi="Century Gothic"/>
          <w:sz w:val="20"/>
          <w:szCs w:val="20"/>
        </w:rPr>
        <w:t>What outcomes have been used to assess treatment effects, including measures of spasticity or muscle tone, function, pain, quality of life, and other patient-centered outcomes?</w:t>
      </w:r>
    </w:p>
    <w:p w:rsidR="008B4920" w:rsidP="008B4920" w:rsidRDefault="008B4920" w14:paraId="3BA58508" w14:textId="77777777">
      <w:pPr>
        <w:pStyle w:val="ListParagraph"/>
        <w:numPr>
          <w:ilvl w:val="0"/>
          <w:numId w:val="4"/>
        </w:numPr>
        <w:rPr>
          <w:rFonts w:ascii="Century Gothic" w:hAnsi="Century Gothic"/>
          <w:sz w:val="20"/>
          <w:szCs w:val="20"/>
        </w:rPr>
      </w:pPr>
      <w:r w:rsidRPr="008B4920">
        <w:rPr>
          <w:rFonts w:ascii="Century Gothic" w:hAnsi="Century Gothic"/>
          <w:sz w:val="20"/>
          <w:szCs w:val="20"/>
        </w:rPr>
        <w:t>What adverse effects, tolerability concerns, and treatment discontinuations have been reported?</w:t>
      </w:r>
    </w:p>
    <w:p w:rsidRPr="008B4920" w:rsidR="008B4920" w:rsidP="008B4920" w:rsidRDefault="008B4920" w14:paraId="4D5B8778" w14:textId="636F3087">
      <w:pPr>
        <w:pStyle w:val="ListParagraph"/>
        <w:numPr>
          <w:ilvl w:val="0"/>
          <w:numId w:val="4"/>
        </w:numPr>
        <w:rPr>
          <w:rFonts w:ascii="Century Gothic" w:hAnsi="Century Gothic"/>
          <w:sz w:val="20"/>
          <w:szCs w:val="20"/>
        </w:rPr>
      </w:pPr>
      <w:r w:rsidRPr="008B4920">
        <w:rPr>
          <w:rFonts w:ascii="Century Gothic" w:hAnsi="Century Gothic"/>
          <w:sz w:val="20"/>
          <w:szCs w:val="20"/>
        </w:rPr>
        <w:t>What gaps and limitations exist in the current evidence regarding oral pharmacologic treatment of spasticity?</w:t>
      </w:r>
    </w:p>
    <w:p w:rsidR="002B1014" w:rsidP="002B1014" w:rsidRDefault="002B1014" w14:paraId="54CAF6B7" w14:textId="61F450F9">
      <w:pPr>
        <w:rPr>
          <w:rFonts w:ascii="Century Gothic" w:hAnsi="Century Gothic"/>
          <w:b/>
          <w:bCs/>
          <w:sz w:val="20"/>
          <w:szCs w:val="20"/>
        </w:rPr>
      </w:pPr>
      <w:r w:rsidRPr="002B1014">
        <w:rPr>
          <w:rFonts w:ascii="Century Gothic" w:hAnsi="Century Gothic"/>
          <w:b/>
          <w:bCs/>
          <w:sz w:val="20"/>
          <w:szCs w:val="20"/>
        </w:rPr>
        <w:t>Methods</w:t>
      </w:r>
    </w:p>
    <w:p w:rsidR="005E65B2" w:rsidP="002B1014" w:rsidRDefault="005E65B2" w14:paraId="266B9BDB" w14:textId="6B6A3224">
      <w:pPr>
        <w:rPr>
          <w:rFonts w:ascii="Century Gothic" w:hAnsi="Century Gothic"/>
          <w:b/>
          <w:bCs/>
          <w:sz w:val="20"/>
          <w:szCs w:val="20"/>
        </w:rPr>
      </w:pPr>
      <w:r w:rsidRPr="005E65B2">
        <w:rPr>
          <w:rFonts w:ascii="Century Gothic" w:hAnsi="Century Gothic"/>
          <w:sz w:val="20"/>
          <w:szCs w:val="20"/>
        </w:rPr>
        <w:t xml:space="preserve">This scoping review will be conducted in accordance with the </w:t>
      </w:r>
      <w:r>
        <w:rPr>
          <w:rFonts w:ascii="Century Gothic" w:hAnsi="Century Gothic"/>
          <w:sz w:val="20"/>
          <w:szCs w:val="20"/>
        </w:rPr>
        <w:t>JBI</w:t>
      </w:r>
      <w:r w:rsidRPr="005E65B2">
        <w:rPr>
          <w:rFonts w:ascii="Century Gothic" w:hAnsi="Century Gothic"/>
          <w:sz w:val="20"/>
          <w:szCs w:val="20"/>
        </w:rPr>
        <w:t xml:space="preserve"> methodology for scoping reviews</w:t>
      </w:r>
      <w:r w:rsidR="00F67F5D">
        <w:rPr>
          <w:rFonts w:ascii="Century Gothic" w:hAnsi="Century Gothic"/>
          <w:sz w:val="20"/>
          <w:szCs w:val="20"/>
        </w:rPr>
        <w:t xml:space="preserve"> </w:t>
      </w:r>
      <w:r w:rsidR="00F67F5D">
        <w:rPr>
          <w:rFonts w:ascii="Century Gothic" w:hAnsi="Century Gothic"/>
          <w:sz w:val="20"/>
          <w:szCs w:val="20"/>
        </w:rPr>
        <w:fldChar w:fldCharType="begin"/>
      </w:r>
      <w:r w:rsidR="00F67F5D">
        <w:rPr>
          <w:rFonts w:ascii="Century Gothic" w:hAnsi="Century Gothic"/>
          <w:sz w:val="20"/>
          <w:szCs w:val="20"/>
        </w:rPr>
        <w:instrText xml:space="preserve"> ADDIN ZOTERO_ITEM CSL_CITATION {"citationID":"nJXRRvxP","properties":{"unsorted":false,"formattedCitation":"(Peters et al., 2024)","plainCitation":"(Peters et al., 2024)","noteIndex":0},"citationItems":[{"id":126,"uris":["http://zotero.org/users/16291027/items/76BHFN78"],"itemData":{"id":126,"type":"chapter","container-title":"JBI Manual for Evidence Synthesis","DOI":"10.46658/JBIMES-24-09","ISBN":"978-0-6488488-2-0","publisher":"JBI","source":"DOI.org (Crossref)","title":"Scoping reviews","URL":"https://jbi-global-wiki.refined.site/space/MANUAL/355862497/10.+Scoping+reviews","editor":[{"family":"Aromataris","given":"Edoardo"},{"family":"Lockwood","given":"Craig"},{"family":"Porritt","given":"Kylie"},{"family":"Pilla","given":"Bianca"},{"family":"Jordan","given":"Zoe"}],"author":[{"family":"Peters","given":"Micah Dj"},{"family":"Godfrey","given":"Christina"},{"family":"McInerney","given":"Patricia"},{"family":"Munn","given":"Zachary"},{"family":"Tricco","given":"Andrea C"},{"family":"Khalil","given":"Hanan"}],"accessed":{"date-parts":[["2026",8,22]]},"issued":{"date-parts":[["2024"]]}}}],"schema":"https://github.com/citation-style-language/schema/raw/master/csl-citation.json"} </w:instrText>
      </w:r>
      <w:r w:rsidR="00F67F5D">
        <w:rPr>
          <w:rFonts w:ascii="Century Gothic" w:hAnsi="Century Gothic"/>
          <w:sz w:val="20"/>
          <w:szCs w:val="20"/>
        </w:rPr>
        <w:fldChar w:fldCharType="separate"/>
      </w:r>
      <w:r w:rsidR="00F67F5D">
        <w:rPr>
          <w:rFonts w:ascii="Century Gothic" w:hAnsi="Century Gothic"/>
          <w:noProof/>
          <w:sz w:val="20"/>
          <w:szCs w:val="20"/>
        </w:rPr>
        <w:t>(Peters et al., 2024)</w:t>
      </w:r>
      <w:r w:rsidR="00F67F5D">
        <w:rPr>
          <w:rFonts w:ascii="Century Gothic" w:hAnsi="Century Gothic"/>
          <w:sz w:val="20"/>
          <w:szCs w:val="20"/>
        </w:rPr>
        <w:fldChar w:fldCharType="end"/>
      </w:r>
      <w:r w:rsidRPr="005E65B2">
        <w:rPr>
          <w:rFonts w:ascii="Century Gothic" w:hAnsi="Century Gothic"/>
          <w:sz w:val="20"/>
          <w:szCs w:val="20"/>
        </w:rPr>
        <w:t>. Reporting of the completed review will follow the PRISMA-</w:t>
      </w:r>
      <w:proofErr w:type="spellStart"/>
      <w:r w:rsidRPr="005E65B2">
        <w:rPr>
          <w:rFonts w:ascii="Century Gothic" w:hAnsi="Century Gothic"/>
          <w:sz w:val="20"/>
          <w:szCs w:val="20"/>
        </w:rPr>
        <w:t>ScR</w:t>
      </w:r>
      <w:proofErr w:type="spellEnd"/>
      <w:r w:rsidR="0024407D">
        <w:rPr>
          <w:rFonts w:ascii="Century Gothic" w:hAnsi="Century Gothic"/>
          <w:sz w:val="20"/>
          <w:szCs w:val="20"/>
        </w:rPr>
        <w:t xml:space="preserve"> reporting guideline </w:t>
      </w:r>
      <w:r w:rsidR="00B42149">
        <w:rPr>
          <w:rFonts w:ascii="Century Gothic" w:hAnsi="Century Gothic"/>
          <w:sz w:val="20"/>
          <w:szCs w:val="20"/>
        </w:rPr>
        <w:fldChar w:fldCharType="begin"/>
      </w:r>
      <w:r w:rsidR="00B42149">
        <w:rPr>
          <w:rFonts w:ascii="Century Gothic" w:hAnsi="Century Gothic"/>
          <w:sz w:val="20"/>
          <w:szCs w:val="20"/>
        </w:rPr>
        <w:instrText xml:space="preserve"> ADDIN ZOTERO_ITEM CSL_CITATION {"citationID":"Veb9zAM2","properties":{"unsorted":false,"formattedCitation":"(Tricco et al., 2018)","plainCitation":"(Tricco et al., 2018)","noteIndex":0},"citationItems":[{"id":124,"uris":["http://zotero.org/users/16291027/items/XMZIAHKM"],"itemData":{"id":124,"type":"article-journal","container-title":"Annals of Internal Medicine","DOI":"10.7326/M18-0850","ISSN":"0003-4819, 1539-3704","issue":"7","journalAbbreviation":"Ann Intern Med","language":"en","page":"467-473","source":"DOI.org (Crossref)","title":"PRISMA Extension for Scoping Reviews (PRISMA-ScR): Checklist and Explanation","title-short":"PRISMA Extension for Scoping Reviews (PRISMA-ScR)","volume":"169","author":[{"family":"Tricco","given":"Andrea C."},{"family":"Lillie","given":"Erin"},{"family":"Zarin","given":"Wasifa"},{"family":"O'Brien","given":"Kelly K."},{"family":"Colquhoun","given":"Heather"},{"family":"Levac","given":"Danielle"},{"family":"Moher","given":"David"},{"family":"Peters","given":"Micah D.J."},{"family":"Horsley","given":"Tanya"},{"family":"Weeks","given":"Laura"},{"family":"Hempel","given":"Susanne"},{"family":"Akl","given":"Elie A."},{"family":"Chang","given":"Christine"},{"family":"McGowan","given":"Jessie"},{"family":"Stewart","given":"Lesley"},{"family":"Hartling","given":"Lisa"},{"family":"Aldcroft","given":"Adrian"},{"family":"Wilson","given":"Michael G."},{"family":"Garritty","given":"Chantelle"},{"family":"Lewin","given":"Simon"},{"family":"Godfrey","given":"Christina M."},{"family":"Macdonald","given":"Marilyn T."},{"family":"Langlois","given":"Etienne V."},{"family":"Soares-Weiser","given":"Karla"},{"family":"Moriarty","given":"Jo"},{"family":"Clifford","given":"Tammy"},{"family":"Tunçalp","given":"Özge"},{"family":"Straus","given":"Sharon E."}],"issued":{"date-parts":[["2018",10,2]]}}}],"schema":"https://github.com/citation-style-language/schema/raw/master/csl-citation.json"} </w:instrText>
      </w:r>
      <w:r w:rsidR="00B42149">
        <w:rPr>
          <w:rFonts w:ascii="Century Gothic" w:hAnsi="Century Gothic"/>
          <w:sz w:val="20"/>
          <w:szCs w:val="20"/>
        </w:rPr>
        <w:fldChar w:fldCharType="separate"/>
      </w:r>
      <w:r w:rsidR="00B42149">
        <w:rPr>
          <w:rFonts w:ascii="Century Gothic" w:hAnsi="Century Gothic"/>
          <w:noProof/>
          <w:sz w:val="20"/>
          <w:szCs w:val="20"/>
        </w:rPr>
        <w:t>(Tricco et al., 2018)</w:t>
      </w:r>
      <w:r w:rsidR="00B42149">
        <w:rPr>
          <w:rFonts w:ascii="Century Gothic" w:hAnsi="Century Gothic"/>
          <w:sz w:val="20"/>
          <w:szCs w:val="20"/>
        </w:rPr>
        <w:fldChar w:fldCharType="end"/>
      </w:r>
      <w:r w:rsidRPr="005E65B2">
        <w:rPr>
          <w:rFonts w:ascii="Century Gothic" w:hAnsi="Century Gothic"/>
          <w:sz w:val="20"/>
          <w:szCs w:val="20"/>
        </w:rPr>
        <w:t>.</w:t>
      </w:r>
    </w:p>
    <w:p w:rsidRPr="005E65B2" w:rsidR="005E65B2" w:rsidP="005E65B2" w:rsidRDefault="005E65B2" w14:paraId="41A55BAC" w14:textId="3E1C68BA">
      <w:pPr>
        <w:rPr>
          <w:rFonts w:ascii="Century Gothic" w:hAnsi="Century Gothic"/>
          <w:sz w:val="20"/>
          <w:szCs w:val="20"/>
          <w:u w:val="single"/>
        </w:rPr>
      </w:pPr>
      <w:r>
        <w:rPr>
          <w:rFonts w:ascii="Century Gothic" w:hAnsi="Century Gothic"/>
          <w:sz w:val="20"/>
          <w:szCs w:val="20"/>
          <w:u w:val="single"/>
        </w:rPr>
        <w:t>Protocol and Registration</w:t>
      </w:r>
    </w:p>
    <w:p w:rsidR="005E65B2" w:rsidP="002B1014" w:rsidRDefault="005E65B2" w14:paraId="1F2A28F8" w14:textId="77777777">
      <w:pPr>
        <w:rPr>
          <w:rFonts w:ascii="Century Gothic" w:hAnsi="Century Gothic"/>
          <w:sz w:val="20"/>
          <w:szCs w:val="20"/>
        </w:rPr>
      </w:pPr>
      <w:r w:rsidRPr="005E65B2">
        <w:rPr>
          <w:rFonts w:ascii="Century Gothic" w:hAnsi="Century Gothic"/>
          <w:sz w:val="20"/>
          <w:szCs w:val="20"/>
        </w:rPr>
        <w:t>A protocol will be developed prospectively before study screening and data charting are completed. The protocol will be made publicly accessible through Northwestern Prism.</w:t>
      </w:r>
    </w:p>
    <w:p w:rsidR="002B1014" w:rsidP="002B1014" w:rsidRDefault="002B1014" w14:paraId="420D946E" w14:textId="1FCD39AB">
      <w:pPr>
        <w:rPr>
          <w:rFonts w:ascii="Century Gothic" w:hAnsi="Century Gothic"/>
          <w:sz w:val="20"/>
          <w:szCs w:val="20"/>
          <w:u w:val="single"/>
        </w:rPr>
      </w:pPr>
      <w:r w:rsidRPr="002B1014">
        <w:rPr>
          <w:rFonts w:ascii="Century Gothic" w:hAnsi="Century Gothic"/>
          <w:sz w:val="20"/>
          <w:szCs w:val="20"/>
          <w:u w:val="single"/>
        </w:rPr>
        <w:t>Eligibility criteria</w:t>
      </w:r>
    </w:p>
    <w:p w:rsidR="005E65B2" w:rsidP="002B1014" w:rsidRDefault="005E65B2" w14:paraId="7F8D9F42" w14:textId="77239186">
      <w:pPr>
        <w:rPr>
          <w:rFonts w:ascii="Century Gothic" w:hAnsi="Century Gothic"/>
          <w:sz w:val="20"/>
          <w:szCs w:val="20"/>
        </w:rPr>
      </w:pPr>
      <w:r w:rsidRPr="005E65B2">
        <w:rPr>
          <w:rFonts w:ascii="Century Gothic" w:hAnsi="Century Gothic"/>
          <w:sz w:val="20"/>
          <w:szCs w:val="20"/>
        </w:rPr>
        <w:t>Eligibility criteria will be structured according to the JBI PCC</w:t>
      </w:r>
      <w:r>
        <w:rPr>
          <w:rFonts w:ascii="Century Gothic" w:hAnsi="Century Gothic"/>
          <w:sz w:val="20"/>
          <w:szCs w:val="20"/>
        </w:rPr>
        <w:t xml:space="preserve"> </w:t>
      </w:r>
      <w:r w:rsidRPr="005E65B2">
        <w:rPr>
          <w:rFonts w:ascii="Century Gothic" w:hAnsi="Century Gothic"/>
          <w:sz w:val="20"/>
          <w:szCs w:val="20"/>
        </w:rPr>
        <w:t>framework.</w:t>
      </w:r>
    </w:p>
    <w:p w:rsidR="005E65B2" w:rsidP="002B1014" w:rsidRDefault="005E65B2" w14:paraId="36212186" w14:textId="2819C454">
      <w:pPr>
        <w:rPr>
          <w:rFonts w:ascii="Century Gothic" w:hAnsi="Century Gothic"/>
          <w:sz w:val="20"/>
          <w:szCs w:val="20"/>
        </w:rPr>
      </w:pPr>
      <w:r>
        <w:rPr>
          <w:rFonts w:ascii="Century Gothic" w:hAnsi="Century Gothic"/>
          <w:sz w:val="20"/>
          <w:szCs w:val="20"/>
        </w:rPr>
        <w:t>Population:</w:t>
      </w:r>
    </w:p>
    <w:p w:rsidR="005E65B2" w:rsidP="002B1014" w:rsidRDefault="005E65B2" w14:paraId="0AE76DFB" w14:textId="645EE8E7">
      <w:pPr>
        <w:rPr>
          <w:rFonts w:ascii="Century Gothic" w:hAnsi="Century Gothic"/>
          <w:sz w:val="20"/>
          <w:szCs w:val="20"/>
        </w:rPr>
      </w:pPr>
      <w:r w:rsidRPr="005E65B2">
        <w:rPr>
          <w:rFonts w:ascii="Century Gothic" w:hAnsi="Century Gothic"/>
          <w:sz w:val="20"/>
          <w:szCs w:val="20"/>
        </w:rPr>
        <w:t>The review will include adults aged 18 years or older with spasticity secondary to an acquired neurologic or CNS disorder. Eligible conditions will include, but will not be limited to:</w:t>
      </w:r>
    </w:p>
    <w:p w:rsidRPr="005E65B2" w:rsidR="005E65B2" w:rsidP="005E65B2" w:rsidRDefault="005E65B2" w14:paraId="07B4C818" w14:textId="57143BAA">
      <w:pPr>
        <w:pStyle w:val="ListParagraph"/>
        <w:numPr>
          <w:ilvl w:val="0"/>
          <w:numId w:val="1"/>
        </w:numPr>
        <w:rPr>
          <w:rFonts w:ascii="Century Gothic" w:hAnsi="Century Gothic"/>
          <w:sz w:val="20"/>
          <w:szCs w:val="20"/>
        </w:rPr>
      </w:pPr>
      <w:r w:rsidRPr="005E65B2">
        <w:rPr>
          <w:rFonts w:ascii="Century Gothic" w:hAnsi="Century Gothic"/>
          <w:sz w:val="20"/>
          <w:szCs w:val="20"/>
        </w:rPr>
        <w:t>Stroke</w:t>
      </w:r>
    </w:p>
    <w:p w:rsidRPr="005E65B2" w:rsidR="005E65B2" w:rsidP="005E65B2" w:rsidRDefault="005E65B2" w14:paraId="3D6CFC83" w14:textId="77777777">
      <w:pPr>
        <w:pStyle w:val="ListParagraph"/>
        <w:numPr>
          <w:ilvl w:val="0"/>
          <w:numId w:val="1"/>
        </w:numPr>
        <w:rPr>
          <w:rFonts w:ascii="Century Gothic" w:hAnsi="Century Gothic"/>
          <w:sz w:val="20"/>
          <w:szCs w:val="20"/>
        </w:rPr>
      </w:pPr>
      <w:r w:rsidRPr="005E65B2">
        <w:rPr>
          <w:rFonts w:ascii="Century Gothic" w:hAnsi="Century Gothic"/>
          <w:sz w:val="20"/>
          <w:szCs w:val="20"/>
        </w:rPr>
        <w:t>Traumatic brain injury</w:t>
      </w:r>
    </w:p>
    <w:p w:rsidRPr="005E65B2" w:rsidR="005E65B2" w:rsidP="005E65B2" w:rsidRDefault="005E65B2" w14:paraId="1920057C" w14:textId="77777777">
      <w:pPr>
        <w:pStyle w:val="ListParagraph"/>
        <w:numPr>
          <w:ilvl w:val="0"/>
          <w:numId w:val="1"/>
        </w:numPr>
        <w:rPr>
          <w:rFonts w:ascii="Century Gothic" w:hAnsi="Century Gothic"/>
          <w:sz w:val="20"/>
          <w:szCs w:val="20"/>
        </w:rPr>
      </w:pPr>
      <w:r w:rsidRPr="005E65B2">
        <w:rPr>
          <w:rFonts w:ascii="Century Gothic" w:hAnsi="Century Gothic"/>
          <w:sz w:val="20"/>
          <w:szCs w:val="20"/>
        </w:rPr>
        <w:t>Acquired brain injury</w:t>
      </w:r>
    </w:p>
    <w:p w:rsidRPr="005E65B2" w:rsidR="005E65B2" w:rsidP="005E65B2" w:rsidRDefault="005E65B2" w14:paraId="7C7F1BFE" w14:textId="77777777">
      <w:pPr>
        <w:pStyle w:val="ListParagraph"/>
        <w:numPr>
          <w:ilvl w:val="0"/>
          <w:numId w:val="1"/>
        </w:numPr>
        <w:rPr>
          <w:rFonts w:ascii="Century Gothic" w:hAnsi="Century Gothic"/>
          <w:sz w:val="20"/>
          <w:szCs w:val="20"/>
        </w:rPr>
      </w:pPr>
      <w:r w:rsidRPr="005E65B2">
        <w:rPr>
          <w:rFonts w:ascii="Century Gothic" w:hAnsi="Century Gothic"/>
          <w:sz w:val="20"/>
          <w:szCs w:val="20"/>
        </w:rPr>
        <w:t>Spinal cord injury</w:t>
      </w:r>
    </w:p>
    <w:p w:rsidRPr="005E65B2" w:rsidR="005E65B2" w:rsidP="005E65B2" w:rsidRDefault="005E65B2" w14:paraId="3361D716" w14:textId="77777777">
      <w:pPr>
        <w:pStyle w:val="ListParagraph"/>
        <w:numPr>
          <w:ilvl w:val="0"/>
          <w:numId w:val="1"/>
        </w:numPr>
        <w:rPr>
          <w:rFonts w:ascii="Century Gothic" w:hAnsi="Century Gothic"/>
          <w:sz w:val="20"/>
          <w:szCs w:val="20"/>
        </w:rPr>
      </w:pPr>
      <w:r w:rsidRPr="005E65B2">
        <w:rPr>
          <w:rFonts w:ascii="Century Gothic" w:hAnsi="Century Gothic"/>
          <w:sz w:val="20"/>
          <w:szCs w:val="20"/>
        </w:rPr>
        <w:t>Multiple sclerosis</w:t>
      </w:r>
    </w:p>
    <w:p w:rsidRPr="005E65B2" w:rsidR="005E65B2" w:rsidP="005E65B2" w:rsidRDefault="005E65B2" w14:paraId="4B852B8D" w14:textId="77777777">
      <w:pPr>
        <w:pStyle w:val="ListParagraph"/>
        <w:numPr>
          <w:ilvl w:val="0"/>
          <w:numId w:val="1"/>
        </w:numPr>
        <w:rPr>
          <w:rFonts w:ascii="Century Gothic" w:hAnsi="Century Gothic"/>
          <w:sz w:val="20"/>
          <w:szCs w:val="20"/>
        </w:rPr>
      </w:pPr>
      <w:r w:rsidRPr="005E65B2">
        <w:rPr>
          <w:rFonts w:ascii="Century Gothic" w:hAnsi="Century Gothic"/>
          <w:sz w:val="20"/>
          <w:szCs w:val="20"/>
        </w:rPr>
        <w:t>Hypoxic-ischemic or anoxic brain injury</w:t>
      </w:r>
    </w:p>
    <w:p w:rsidRPr="005E65B2" w:rsidR="005E65B2" w:rsidP="005E65B2" w:rsidRDefault="005E65B2" w14:paraId="341F3C2A" w14:textId="6B454F8C">
      <w:pPr>
        <w:pStyle w:val="ListParagraph"/>
        <w:numPr>
          <w:ilvl w:val="0"/>
          <w:numId w:val="1"/>
        </w:numPr>
        <w:rPr>
          <w:rFonts w:ascii="Century Gothic" w:hAnsi="Century Gothic"/>
          <w:sz w:val="20"/>
          <w:szCs w:val="20"/>
        </w:rPr>
      </w:pPr>
      <w:r w:rsidRPr="005E65B2">
        <w:rPr>
          <w:rFonts w:ascii="Century Gothic" w:hAnsi="Century Gothic"/>
          <w:sz w:val="20"/>
          <w:szCs w:val="20"/>
        </w:rPr>
        <w:t>Other acquired CNS disorders associated with upper motor neuron syndrome and spasticity</w:t>
      </w:r>
    </w:p>
    <w:p w:rsidR="5A774594" w:rsidRDefault="5A774594" w14:paraId="59E9CB05" w14:textId="48A3DA44">
      <w:r w:rsidRPr="48018F46" w:rsidR="5A774594">
        <w:rPr>
          <w:rFonts w:ascii="Century Gothic" w:hAnsi="Century Gothic"/>
          <w:sz w:val="20"/>
          <w:szCs w:val="20"/>
        </w:rPr>
        <w:t xml:space="preserve">Studies involving mixed populations will be eligible when data </w:t>
      </w:r>
      <w:r w:rsidRPr="48018F46" w:rsidR="3ED553BA">
        <w:rPr>
          <w:rFonts w:ascii="Century Gothic" w:hAnsi="Century Gothic"/>
          <w:sz w:val="20"/>
          <w:szCs w:val="20"/>
        </w:rPr>
        <w:t>concerning</w:t>
      </w:r>
      <w:r w:rsidRPr="48018F46" w:rsidR="5A774594">
        <w:rPr>
          <w:rFonts w:ascii="Century Gothic" w:hAnsi="Century Gothic"/>
          <w:sz w:val="20"/>
          <w:szCs w:val="20"/>
        </w:rPr>
        <w:t xml:space="preserve"> the adult population with an eligible neurologic disorder can be separately </w:t>
      </w:r>
      <w:r w:rsidRPr="48018F46" w:rsidR="5A774594">
        <w:rPr>
          <w:rFonts w:ascii="Century Gothic" w:hAnsi="Century Gothic"/>
          <w:sz w:val="20"/>
          <w:szCs w:val="20"/>
        </w:rPr>
        <w:t>identified</w:t>
      </w:r>
      <w:r w:rsidRPr="48018F46" w:rsidR="5A774594">
        <w:rPr>
          <w:rFonts w:ascii="Century Gothic" w:hAnsi="Century Gothic"/>
          <w:sz w:val="20"/>
          <w:szCs w:val="20"/>
        </w:rPr>
        <w:t>.</w:t>
      </w:r>
      <w:r w:rsidRPr="48018F46" w:rsidR="5A774594">
        <w:rPr>
          <w:rFonts w:ascii="Century Gothic" w:hAnsi="Century Gothic"/>
          <w:sz w:val="20"/>
          <w:szCs w:val="20"/>
        </w:rPr>
        <w:t xml:space="preserve"> </w:t>
      </w:r>
      <w:r w:rsidRPr="48018F46" w:rsidR="5A774594">
        <w:rPr>
          <w:rFonts w:ascii="Century Gothic" w:hAnsi="Century Gothic"/>
          <w:sz w:val="20"/>
          <w:szCs w:val="20"/>
        </w:rPr>
        <w:t>Pediatric populations, cerebral palsy, and other congenital or developmental neurologic disorders will be excluded.</w:t>
      </w:r>
    </w:p>
    <w:p w:rsidR="005E65B2" w:rsidP="005E65B2" w:rsidRDefault="005E65B2" w14:paraId="3C9BD7B5" w14:textId="0593FBE1">
      <w:pPr>
        <w:rPr>
          <w:rFonts w:ascii="Century Gothic" w:hAnsi="Century Gothic"/>
          <w:sz w:val="20"/>
          <w:szCs w:val="20"/>
        </w:rPr>
      </w:pPr>
      <w:r>
        <w:rPr>
          <w:rFonts w:ascii="Century Gothic" w:hAnsi="Century Gothic"/>
          <w:sz w:val="20"/>
          <w:szCs w:val="20"/>
        </w:rPr>
        <w:lastRenderedPageBreak/>
        <w:t>Concept:</w:t>
      </w:r>
    </w:p>
    <w:p w:rsidR="005E65B2" w:rsidP="005E65B2" w:rsidRDefault="005E65B2" w14:paraId="7E480179" w14:textId="77777777">
      <w:pPr>
        <w:rPr>
          <w:rFonts w:ascii="Century Gothic" w:hAnsi="Century Gothic"/>
          <w:sz w:val="20"/>
          <w:szCs w:val="20"/>
        </w:rPr>
      </w:pPr>
      <w:r w:rsidRPr="005E65B2">
        <w:rPr>
          <w:rFonts w:ascii="Century Gothic" w:hAnsi="Century Gothic"/>
          <w:sz w:val="20"/>
          <w:szCs w:val="20"/>
        </w:rPr>
        <w:t>The concept of interest is the oral pharmacologic treatment of spasticity.</w:t>
      </w:r>
      <w:r>
        <w:rPr>
          <w:rFonts w:ascii="Century Gothic" w:hAnsi="Century Gothic"/>
          <w:sz w:val="20"/>
          <w:szCs w:val="20"/>
        </w:rPr>
        <w:t xml:space="preserve"> </w:t>
      </w:r>
      <w:r w:rsidRPr="005E65B2">
        <w:rPr>
          <w:rFonts w:ascii="Century Gothic" w:hAnsi="Century Gothic"/>
          <w:sz w:val="20"/>
          <w:szCs w:val="20"/>
        </w:rPr>
        <w:t>Medications of interest may include, but will not be limited to baclofen, tizanidine, dantrolene, diazepam, clonazepam, gabapentin, pregabalin, clonidine, cyproheptadine, and cyclobenzaprine. Additional orally administered medications will be considered when they are specifically evaluated for the treatment or management of spasticity in an eligible population.</w:t>
      </w:r>
    </w:p>
    <w:p w:rsidR="005E65B2" w:rsidP="005E65B2" w:rsidRDefault="005E65B2" w14:paraId="4547822B" w14:textId="2B6D6E9A">
      <w:pPr>
        <w:rPr>
          <w:rFonts w:ascii="Century Gothic" w:hAnsi="Century Gothic"/>
          <w:sz w:val="20"/>
          <w:szCs w:val="20"/>
        </w:rPr>
      </w:pPr>
      <w:r w:rsidRPr="005E65B2">
        <w:rPr>
          <w:rFonts w:ascii="Century Gothic" w:hAnsi="Century Gothic"/>
          <w:sz w:val="20"/>
          <w:szCs w:val="20"/>
        </w:rPr>
        <w:t>Studies evaluating intrathecal baclofen, botulinum toxin injections, phenol or alcohol neurolysis, surgical interventions, or exclusively nonpharmacologic interventions will be excluded unless the effects of an eligible oral pharmacologic treatment can be evaluated separately.</w:t>
      </w:r>
    </w:p>
    <w:p w:rsidR="005E65B2" w:rsidP="005E65B2" w:rsidRDefault="005E65B2" w14:paraId="7589046E" w14:textId="200E7B46">
      <w:pPr>
        <w:rPr>
          <w:rFonts w:ascii="Century Gothic" w:hAnsi="Century Gothic"/>
          <w:sz w:val="20"/>
          <w:szCs w:val="20"/>
        </w:rPr>
      </w:pPr>
      <w:r>
        <w:rPr>
          <w:rFonts w:ascii="Century Gothic" w:hAnsi="Century Gothic"/>
          <w:sz w:val="20"/>
          <w:szCs w:val="20"/>
        </w:rPr>
        <w:t>Context:</w:t>
      </w:r>
    </w:p>
    <w:p w:rsidR="005E65B2" w:rsidP="005E65B2" w:rsidRDefault="005E65B2" w14:paraId="07ACD025" w14:textId="05F2AEA8">
      <w:pPr>
        <w:rPr>
          <w:rFonts w:ascii="Century Gothic" w:hAnsi="Century Gothic"/>
          <w:sz w:val="20"/>
          <w:szCs w:val="20"/>
        </w:rPr>
      </w:pPr>
      <w:r w:rsidRPr="005E65B2">
        <w:rPr>
          <w:rFonts w:ascii="Century Gothic" w:hAnsi="Century Gothic"/>
          <w:sz w:val="20"/>
          <w:szCs w:val="20"/>
        </w:rPr>
        <w:t>Studies conducted in any geographic location and in any clinical or community setting will be eligible. This may include acute care, inpatient rehabilitation, outpatient rehabilitation, specialty clinics, long-term care, and community settings.</w:t>
      </w:r>
    </w:p>
    <w:p w:rsidR="005E65B2" w:rsidP="005E65B2" w:rsidRDefault="005E65B2" w14:paraId="3F7C3F3B" w14:textId="11F01906">
      <w:pPr>
        <w:rPr>
          <w:rFonts w:ascii="Century Gothic" w:hAnsi="Century Gothic"/>
          <w:sz w:val="20"/>
          <w:szCs w:val="20"/>
          <w:u w:val="single"/>
        </w:rPr>
      </w:pPr>
      <w:r>
        <w:rPr>
          <w:rFonts w:ascii="Century Gothic" w:hAnsi="Century Gothic"/>
          <w:sz w:val="20"/>
          <w:szCs w:val="20"/>
          <w:u w:val="single"/>
        </w:rPr>
        <w:t>Types of Sources of Evidence</w:t>
      </w:r>
    </w:p>
    <w:p w:rsidR="005E65B2" w:rsidP="005E65B2" w:rsidRDefault="005E65B2" w14:paraId="0C01980B" w14:textId="75F00AB4">
      <w:pPr>
        <w:rPr>
          <w:rFonts w:ascii="Century Gothic" w:hAnsi="Century Gothic"/>
          <w:sz w:val="20"/>
          <w:szCs w:val="20"/>
        </w:rPr>
      </w:pPr>
      <w:r w:rsidRPr="005E65B2">
        <w:rPr>
          <w:rFonts w:ascii="Century Gothic" w:hAnsi="Century Gothic"/>
          <w:sz w:val="20"/>
          <w:szCs w:val="20"/>
        </w:rPr>
        <w:t>The review will include primary human research evaluating an oral pharmacologic intervention for spasticity. Eligible study designs will include randomized controlled trials, nonrandomized controlled studies, prospective and retrospective cohort studies, case-control studies</w:t>
      </w:r>
      <w:r w:rsidR="00A43E6A">
        <w:rPr>
          <w:rFonts w:ascii="Century Gothic" w:hAnsi="Century Gothic"/>
          <w:sz w:val="20"/>
          <w:szCs w:val="20"/>
        </w:rPr>
        <w:t xml:space="preserve"> and </w:t>
      </w:r>
      <w:r w:rsidRPr="005E65B2">
        <w:rPr>
          <w:rFonts w:ascii="Century Gothic" w:hAnsi="Century Gothic"/>
          <w:sz w:val="20"/>
          <w:szCs w:val="20"/>
        </w:rPr>
        <w:t>cross-sectional studies.</w:t>
      </w:r>
      <w:r>
        <w:rPr>
          <w:rFonts w:ascii="Century Gothic" w:hAnsi="Century Gothic"/>
          <w:sz w:val="20"/>
          <w:szCs w:val="20"/>
        </w:rPr>
        <w:t xml:space="preserve"> </w:t>
      </w:r>
      <w:r w:rsidRPr="005E65B2">
        <w:rPr>
          <w:rFonts w:ascii="Century Gothic" w:hAnsi="Century Gothic"/>
          <w:sz w:val="20"/>
          <w:szCs w:val="20"/>
        </w:rPr>
        <w:t>Only studies published in English will be included. No publication-date restriction will be applied.</w:t>
      </w:r>
    </w:p>
    <w:p w:rsidRPr="005E65B2" w:rsidR="005E65B2" w:rsidP="005E65B2" w:rsidRDefault="005E65B2" w14:paraId="74352426" w14:textId="30223C41">
      <w:pPr>
        <w:rPr>
          <w:rFonts w:ascii="Century Gothic" w:hAnsi="Century Gothic"/>
          <w:sz w:val="20"/>
          <w:szCs w:val="20"/>
        </w:rPr>
      </w:pPr>
      <w:r w:rsidRPr="005E65B2">
        <w:rPr>
          <w:rFonts w:ascii="Century Gothic" w:hAnsi="Century Gothic"/>
          <w:sz w:val="20"/>
          <w:szCs w:val="20"/>
        </w:rPr>
        <w:t>Animal and preclinical studies will be excluded. Systematic reviews, meta-analyses, narrative reviews, clinical practice guidelines</w:t>
      </w:r>
      <w:r w:rsidR="00A43E6A">
        <w:rPr>
          <w:rFonts w:ascii="Century Gothic" w:hAnsi="Century Gothic"/>
          <w:sz w:val="20"/>
          <w:szCs w:val="20"/>
        </w:rPr>
        <w:t xml:space="preserve">, case reports and case series </w:t>
      </w:r>
      <w:r w:rsidRPr="005E65B2">
        <w:rPr>
          <w:rFonts w:ascii="Century Gothic" w:hAnsi="Century Gothic"/>
          <w:sz w:val="20"/>
          <w:szCs w:val="20"/>
        </w:rPr>
        <w:t>will not be included as primary evidence</w:t>
      </w:r>
      <w:r>
        <w:rPr>
          <w:rFonts w:ascii="Century Gothic" w:hAnsi="Century Gothic"/>
          <w:sz w:val="20"/>
          <w:szCs w:val="20"/>
        </w:rPr>
        <w:t xml:space="preserve">. </w:t>
      </w:r>
    </w:p>
    <w:p w:rsidR="002B1014" w:rsidP="002B1014" w:rsidRDefault="002B1014" w14:paraId="615F24B7" w14:textId="2E380AA3">
      <w:pPr>
        <w:rPr>
          <w:rFonts w:ascii="Century Gothic" w:hAnsi="Century Gothic"/>
          <w:sz w:val="20"/>
          <w:szCs w:val="20"/>
          <w:u w:val="single"/>
        </w:rPr>
      </w:pPr>
      <w:r w:rsidRPr="002B1014">
        <w:rPr>
          <w:rFonts w:ascii="Century Gothic" w:hAnsi="Century Gothic"/>
          <w:sz w:val="20"/>
          <w:szCs w:val="20"/>
          <w:u w:val="single"/>
        </w:rPr>
        <w:t xml:space="preserve">Information Sources </w:t>
      </w:r>
    </w:p>
    <w:p w:rsidRPr="005E65B2" w:rsidR="005E65B2" w:rsidP="005E65B2" w:rsidRDefault="005E65B2" w14:paraId="065891D7" w14:textId="305E53D3">
      <w:pPr>
        <w:rPr>
          <w:rFonts w:ascii="Century Gothic" w:hAnsi="Century Gothic"/>
          <w:sz w:val="20"/>
          <w:szCs w:val="20"/>
        </w:rPr>
      </w:pPr>
      <w:r w:rsidRPr="005E65B2">
        <w:rPr>
          <w:rFonts w:ascii="Century Gothic" w:hAnsi="Century Gothic"/>
          <w:sz w:val="20"/>
          <w:szCs w:val="20"/>
        </w:rPr>
        <w:t>A comprehensive literature search will be conducted using the MEDLINE</w:t>
      </w:r>
      <w:r>
        <w:rPr>
          <w:rFonts w:ascii="Century Gothic" w:hAnsi="Century Gothic"/>
          <w:sz w:val="20"/>
          <w:szCs w:val="20"/>
        </w:rPr>
        <w:t xml:space="preserve">, </w:t>
      </w:r>
      <w:r w:rsidRPr="005E65B2">
        <w:rPr>
          <w:rFonts w:ascii="Century Gothic" w:hAnsi="Century Gothic"/>
          <w:sz w:val="20"/>
          <w:szCs w:val="20"/>
        </w:rPr>
        <w:t>Embase</w:t>
      </w:r>
      <w:r>
        <w:rPr>
          <w:rFonts w:ascii="Century Gothic" w:hAnsi="Century Gothic"/>
          <w:sz w:val="20"/>
          <w:szCs w:val="20"/>
        </w:rPr>
        <w:t xml:space="preserve">, and </w:t>
      </w:r>
      <w:r w:rsidRPr="005E65B2">
        <w:rPr>
          <w:rFonts w:ascii="Century Gothic" w:hAnsi="Century Gothic"/>
          <w:sz w:val="20"/>
          <w:szCs w:val="20"/>
        </w:rPr>
        <w:t>Cochrane Central Register of Controlled Trials (CENTRAL)</w:t>
      </w:r>
      <w:r>
        <w:rPr>
          <w:rFonts w:ascii="Century Gothic" w:hAnsi="Century Gothic"/>
          <w:sz w:val="20"/>
          <w:szCs w:val="20"/>
        </w:rPr>
        <w:t xml:space="preserve"> electronic databases.</w:t>
      </w:r>
    </w:p>
    <w:p w:rsidR="005E65B2" w:rsidP="005E65B2" w:rsidRDefault="005E65B2" w14:paraId="40203F85" w14:textId="4DB156AD">
      <w:pPr>
        <w:rPr>
          <w:rFonts w:ascii="Century Gothic" w:hAnsi="Century Gothic"/>
          <w:sz w:val="20"/>
          <w:szCs w:val="20"/>
        </w:rPr>
      </w:pPr>
      <w:r w:rsidRPr="005E65B2">
        <w:rPr>
          <w:rFonts w:ascii="Century Gothic" w:hAnsi="Century Gothic"/>
          <w:sz w:val="20"/>
          <w:szCs w:val="20"/>
        </w:rPr>
        <w:t>The reference lists of included studies and relevant review articles or clinical practice guidelines may also be examined to identify additional eligible primary studies.</w:t>
      </w:r>
      <w:r>
        <w:rPr>
          <w:rFonts w:ascii="Century Gothic" w:hAnsi="Century Gothic"/>
          <w:sz w:val="20"/>
          <w:szCs w:val="20"/>
        </w:rPr>
        <w:t xml:space="preserve"> </w:t>
      </w:r>
      <w:r w:rsidRPr="005E65B2">
        <w:rPr>
          <w:rFonts w:ascii="Century Gothic" w:hAnsi="Century Gothic"/>
          <w:sz w:val="20"/>
          <w:szCs w:val="20"/>
        </w:rPr>
        <w:t>The date of the final search of each database will be documented and reported in the completed review.</w:t>
      </w:r>
    </w:p>
    <w:p w:rsidR="005E65B2" w:rsidP="005E65B2" w:rsidRDefault="005E65B2" w14:paraId="6A9C7515" w14:textId="0F448F75">
      <w:pPr>
        <w:rPr>
          <w:rFonts w:ascii="Century Gothic" w:hAnsi="Century Gothic"/>
          <w:sz w:val="20"/>
          <w:szCs w:val="20"/>
          <w:u w:val="single"/>
        </w:rPr>
      </w:pPr>
      <w:r w:rsidRPr="002B1014">
        <w:rPr>
          <w:rFonts w:ascii="Century Gothic" w:hAnsi="Century Gothic"/>
          <w:sz w:val="20"/>
          <w:szCs w:val="20"/>
          <w:u w:val="single"/>
        </w:rPr>
        <w:t>Search Strategy</w:t>
      </w:r>
    </w:p>
    <w:p w:rsidR="005E65B2" w:rsidP="005E65B2" w:rsidRDefault="005E65B2" w14:paraId="3564A405" w14:textId="46880C29">
      <w:pPr>
        <w:rPr>
          <w:rFonts w:ascii="Century Gothic" w:hAnsi="Century Gothic"/>
          <w:sz w:val="20"/>
          <w:szCs w:val="20"/>
        </w:rPr>
      </w:pPr>
      <w:r w:rsidRPr="005E65B2">
        <w:rPr>
          <w:rFonts w:ascii="Century Gothic" w:hAnsi="Century Gothic"/>
          <w:sz w:val="20"/>
          <w:szCs w:val="20"/>
        </w:rPr>
        <w:t>The search strategy will be developed by the review authors in consultation with a medical librarian. Search terms will address the primary concepts of spasticity and oral pharmacologic treatment.</w:t>
      </w:r>
      <w:r>
        <w:rPr>
          <w:rFonts w:ascii="Century Gothic" w:hAnsi="Century Gothic"/>
          <w:sz w:val="20"/>
          <w:szCs w:val="20"/>
        </w:rPr>
        <w:t xml:space="preserve"> </w:t>
      </w:r>
    </w:p>
    <w:p w:rsidR="005E65B2" w:rsidP="005E65B2" w:rsidRDefault="005E65B2" w14:paraId="0C2D5D0C" w14:textId="11C8437E">
      <w:pPr>
        <w:rPr>
          <w:rFonts w:ascii="Century Gothic" w:hAnsi="Century Gothic"/>
          <w:sz w:val="20"/>
          <w:szCs w:val="20"/>
        </w:rPr>
      </w:pPr>
      <w:r w:rsidRPr="48018F46" w:rsidR="5A774594">
        <w:rPr>
          <w:rFonts w:ascii="Century Gothic" w:hAnsi="Century Gothic"/>
          <w:sz w:val="20"/>
          <w:szCs w:val="20"/>
        </w:rPr>
        <w:t>Search</w:t>
      </w:r>
      <w:r w:rsidRPr="48018F46" w:rsidR="5A774594">
        <w:rPr>
          <w:rFonts w:ascii="Century Gothic" w:hAnsi="Century Gothic"/>
          <w:sz w:val="20"/>
          <w:szCs w:val="20"/>
        </w:rPr>
        <w:t xml:space="preserve"> terms related to spasticity may include terms such as spasticity</w:t>
      </w:r>
      <w:r w:rsidRPr="48018F46" w:rsidR="1BD337FC">
        <w:rPr>
          <w:rFonts w:ascii="Century Gothic" w:hAnsi="Century Gothic"/>
          <w:sz w:val="20"/>
          <w:szCs w:val="20"/>
        </w:rPr>
        <w:t xml:space="preserve"> </w:t>
      </w:r>
      <w:r w:rsidRPr="48018F46" w:rsidR="5A774594">
        <w:rPr>
          <w:rFonts w:ascii="Century Gothic" w:hAnsi="Century Gothic"/>
          <w:sz w:val="20"/>
          <w:szCs w:val="20"/>
        </w:rPr>
        <w:t xml:space="preserve">and muscle hypertonia. Pharmacologic terms will include the individual oral medications of interest as well as broader terminology related to oral </w:t>
      </w:r>
      <w:r w:rsidRPr="48018F46" w:rsidR="5A774594">
        <w:rPr>
          <w:rFonts w:ascii="Century Gothic" w:hAnsi="Century Gothic"/>
          <w:sz w:val="20"/>
          <w:szCs w:val="20"/>
        </w:rPr>
        <w:t>antispasticity</w:t>
      </w:r>
      <w:r w:rsidRPr="48018F46" w:rsidR="5A774594">
        <w:rPr>
          <w:rFonts w:ascii="Century Gothic" w:hAnsi="Century Gothic"/>
          <w:sz w:val="20"/>
          <w:szCs w:val="20"/>
        </w:rPr>
        <w:t xml:space="preserve"> treatment when </w:t>
      </w:r>
      <w:r w:rsidRPr="48018F46" w:rsidR="5A774594">
        <w:rPr>
          <w:rFonts w:ascii="Century Gothic" w:hAnsi="Century Gothic"/>
          <w:sz w:val="20"/>
          <w:szCs w:val="20"/>
        </w:rPr>
        <w:t>needed</w:t>
      </w:r>
      <w:r w:rsidRPr="48018F46" w:rsidR="5A774594">
        <w:rPr>
          <w:rFonts w:ascii="Century Gothic" w:hAnsi="Century Gothic"/>
          <w:sz w:val="20"/>
          <w:szCs w:val="20"/>
        </w:rPr>
        <w:t>.</w:t>
      </w:r>
    </w:p>
    <w:p w:rsidRPr="005E65B2" w:rsidR="005E65B2" w:rsidP="005E65B2" w:rsidRDefault="005E65B2" w14:paraId="1B0F334E" w14:textId="4657155C">
      <w:pPr>
        <w:rPr>
          <w:rFonts w:ascii="Century Gothic" w:hAnsi="Century Gothic"/>
          <w:sz w:val="20"/>
          <w:szCs w:val="20"/>
        </w:rPr>
      </w:pPr>
      <w:r w:rsidRPr="005E65B2">
        <w:rPr>
          <w:rFonts w:ascii="Century Gothic" w:hAnsi="Century Gothic"/>
          <w:sz w:val="20"/>
          <w:szCs w:val="20"/>
        </w:rPr>
        <w:t>The search strategy will initially be developed for MEDLINE and adapted for the syntax and controlled vocabulary of the other databases. No publication-date restriction will be applied. Searches will be limited to human studies published in English where database functionality permits.</w:t>
      </w:r>
    </w:p>
    <w:p w:rsidR="005E65B2" w:rsidP="005E65B2" w:rsidRDefault="005E65B2" w14:paraId="7EA95951" w14:textId="3CA7A940">
      <w:pPr>
        <w:rPr>
          <w:rFonts w:ascii="Century Gothic" w:hAnsi="Century Gothic"/>
          <w:sz w:val="20"/>
          <w:szCs w:val="20"/>
        </w:rPr>
      </w:pPr>
      <w:r w:rsidRPr="005E65B2">
        <w:rPr>
          <w:rFonts w:ascii="Century Gothic" w:hAnsi="Century Gothic"/>
          <w:sz w:val="20"/>
          <w:szCs w:val="20"/>
        </w:rPr>
        <w:t>The final search strategy may undergo peer review using the Peer Review of Electronic Search Strategies (PRESS) framework</w:t>
      </w:r>
      <w:r>
        <w:rPr>
          <w:rFonts w:ascii="Century Gothic" w:hAnsi="Century Gothic"/>
          <w:sz w:val="20"/>
          <w:szCs w:val="20"/>
        </w:rPr>
        <w:t xml:space="preserve">. </w:t>
      </w:r>
    </w:p>
    <w:p w:rsidR="002B1014" w:rsidP="005E65B2" w:rsidRDefault="002B1014" w14:paraId="1EBE9867" w14:textId="5C31D446">
      <w:pPr>
        <w:rPr>
          <w:rFonts w:ascii="Century Gothic" w:hAnsi="Century Gothic"/>
          <w:sz w:val="20"/>
          <w:szCs w:val="20"/>
          <w:u w:val="single"/>
        </w:rPr>
      </w:pPr>
      <w:r w:rsidRPr="002B1014">
        <w:rPr>
          <w:rFonts w:ascii="Century Gothic" w:hAnsi="Century Gothic"/>
          <w:sz w:val="20"/>
          <w:szCs w:val="20"/>
          <w:u w:val="single"/>
        </w:rPr>
        <w:t>S</w:t>
      </w:r>
      <w:r w:rsidR="005E65B2">
        <w:rPr>
          <w:rFonts w:ascii="Century Gothic" w:hAnsi="Century Gothic"/>
          <w:sz w:val="20"/>
          <w:szCs w:val="20"/>
          <w:u w:val="single"/>
        </w:rPr>
        <w:t>election of Sources of Evidence</w:t>
      </w:r>
    </w:p>
    <w:p w:rsidRPr="005E65B2" w:rsidR="005E65B2" w:rsidP="005E65B2" w:rsidRDefault="005E65B2" w14:paraId="75D159F5" w14:textId="526C21C7">
      <w:pPr>
        <w:rPr>
          <w:rFonts w:ascii="Century Gothic" w:hAnsi="Century Gothic"/>
          <w:sz w:val="20"/>
          <w:szCs w:val="20"/>
        </w:rPr>
      </w:pPr>
      <w:r w:rsidRPr="005E65B2">
        <w:rPr>
          <w:rFonts w:ascii="Century Gothic" w:hAnsi="Century Gothic"/>
          <w:sz w:val="20"/>
          <w:szCs w:val="20"/>
        </w:rPr>
        <w:t>All records identified through the database searches will be imported into Rayyan for organization, duplicate removal, and screening.</w:t>
      </w:r>
    </w:p>
    <w:p w:rsidRPr="005E65B2" w:rsidR="005E65B2" w:rsidP="005E65B2" w:rsidRDefault="005E65B2" w14:paraId="5134A386" w14:textId="1958A623">
      <w:pPr>
        <w:rPr>
          <w:rFonts w:ascii="Century Gothic" w:hAnsi="Century Gothic"/>
          <w:sz w:val="20"/>
          <w:szCs w:val="20"/>
        </w:rPr>
      </w:pPr>
      <w:r w:rsidRPr="005E65B2">
        <w:rPr>
          <w:rFonts w:ascii="Century Gothic" w:hAnsi="Century Gothic"/>
          <w:sz w:val="20"/>
          <w:szCs w:val="20"/>
        </w:rPr>
        <w:lastRenderedPageBreak/>
        <w:t>Following removal of duplicates, study selection will occur in two stages. First, two reviewers will independently screen the titles and abstracts of identified records against the predefined eligibility criteria. Records considered potentially eligible by either reviewer will proceed to full-text review.</w:t>
      </w:r>
    </w:p>
    <w:p w:rsidRPr="005E65B2" w:rsidR="005E65B2" w:rsidP="005E65B2" w:rsidRDefault="005E65B2" w14:paraId="58F587C0" w14:textId="405AFAB6">
      <w:pPr>
        <w:rPr>
          <w:rFonts w:ascii="Century Gothic" w:hAnsi="Century Gothic"/>
          <w:sz w:val="20"/>
          <w:szCs w:val="20"/>
        </w:rPr>
      </w:pPr>
      <w:r w:rsidRPr="005E65B2">
        <w:rPr>
          <w:rFonts w:ascii="Century Gothic" w:hAnsi="Century Gothic"/>
          <w:sz w:val="20"/>
          <w:szCs w:val="20"/>
        </w:rPr>
        <w:t>Second, the full text of potentially eligible articles will be independently assessed by two reviewers. Reasons for exclusion will be documented for studies excluded during full-text review.</w:t>
      </w:r>
      <w:r>
        <w:rPr>
          <w:rFonts w:ascii="Century Gothic" w:hAnsi="Century Gothic"/>
          <w:sz w:val="20"/>
          <w:szCs w:val="20"/>
        </w:rPr>
        <w:t xml:space="preserve"> </w:t>
      </w:r>
      <w:r w:rsidRPr="005E65B2">
        <w:rPr>
          <w:rFonts w:ascii="Century Gothic" w:hAnsi="Century Gothic"/>
          <w:sz w:val="20"/>
          <w:szCs w:val="20"/>
        </w:rPr>
        <w:t xml:space="preserve">Disagreements between reviewers at either stage will be resolved through discussion and consensus. </w:t>
      </w:r>
    </w:p>
    <w:p w:rsidRPr="005E65B2" w:rsidR="005E65B2" w:rsidP="005E65B2" w:rsidRDefault="005E65B2" w14:paraId="10E77C12" w14:textId="5E65B514">
      <w:pPr>
        <w:rPr>
          <w:rFonts w:ascii="Century Gothic" w:hAnsi="Century Gothic"/>
          <w:sz w:val="20"/>
          <w:szCs w:val="20"/>
        </w:rPr>
      </w:pPr>
      <w:r w:rsidRPr="005E65B2">
        <w:rPr>
          <w:rFonts w:ascii="Century Gothic" w:hAnsi="Century Gothic"/>
          <w:sz w:val="20"/>
          <w:szCs w:val="20"/>
        </w:rPr>
        <w:t>The study-selection process will be summarized using a PRISMA flow diagram.</w:t>
      </w:r>
    </w:p>
    <w:p w:rsidR="002B1014" w:rsidP="002B1014" w:rsidRDefault="002B1014" w14:paraId="1617060B" w14:textId="4CAB8796">
      <w:pPr>
        <w:rPr>
          <w:rFonts w:ascii="Century Gothic" w:hAnsi="Century Gothic"/>
          <w:sz w:val="20"/>
          <w:szCs w:val="20"/>
          <w:u w:val="single"/>
        </w:rPr>
      </w:pPr>
      <w:r w:rsidRPr="002B1014">
        <w:rPr>
          <w:rFonts w:ascii="Century Gothic" w:hAnsi="Century Gothic"/>
          <w:sz w:val="20"/>
          <w:szCs w:val="20"/>
          <w:u w:val="single"/>
        </w:rPr>
        <w:t>Data Charting</w:t>
      </w:r>
      <w:r w:rsidR="005E65B2">
        <w:rPr>
          <w:rFonts w:ascii="Century Gothic" w:hAnsi="Century Gothic"/>
          <w:sz w:val="20"/>
          <w:szCs w:val="20"/>
          <w:u w:val="single"/>
        </w:rPr>
        <w:t xml:space="preserve"> Process</w:t>
      </w:r>
    </w:p>
    <w:p w:rsidR="005E65B2" w:rsidP="005E65B2" w:rsidRDefault="005E65B2" w14:paraId="2E8F0FE7" w14:textId="2B3F5DA3">
      <w:pPr>
        <w:rPr>
          <w:rFonts w:ascii="Century Gothic" w:hAnsi="Century Gothic"/>
          <w:sz w:val="20"/>
          <w:szCs w:val="20"/>
        </w:rPr>
      </w:pPr>
      <w:r w:rsidRPr="005E65B2">
        <w:rPr>
          <w:rFonts w:ascii="Century Gothic" w:hAnsi="Century Gothic"/>
          <w:sz w:val="20"/>
          <w:szCs w:val="20"/>
        </w:rPr>
        <w:t>Data will be charted using a standardized data-charting form developed in Microsoft Excel. The form will be designed to capture information relevant to the review questions.</w:t>
      </w:r>
    </w:p>
    <w:p w:rsidRPr="005E65B2" w:rsidR="005E65B2" w:rsidP="005E65B2" w:rsidRDefault="005E65B2" w14:paraId="59E44A91" w14:textId="4580E892">
      <w:pPr>
        <w:rPr>
          <w:rFonts w:ascii="Century Gothic" w:hAnsi="Century Gothic"/>
          <w:sz w:val="20"/>
          <w:szCs w:val="20"/>
        </w:rPr>
      </w:pPr>
      <w:r w:rsidRPr="005E65B2">
        <w:rPr>
          <w:rFonts w:ascii="Century Gothic" w:hAnsi="Century Gothic"/>
          <w:sz w:val="20"/>
          <w:szCs w:val="20"/>
        </w:rPr>
        <w:t>Before formal data charting begins, the form will be piloted by the review team using a subset of included studies.</w:t>
      </w:r>
      <w:r>
        <w:rPr>
          <w:rFonts w:ascii="Century Gothic" w:hAnsi="Century Gothic"/>
          <w:sz w:val="20"/>
          <w:szCs w:val="20"/>
        </w:rPr>
        <w:t xml:space="preserve"> A</w:t>
      </w:r>
      <w:r w:rsidRPr="005E65B2">
        <w:rPr>
          <w:rFonts w:ascii="Century Gothic" w:hAnsi="Century Gothic"/>
          <w:sz w:val="20"/>
          <w:szCs w:val="20"/>
        </w:rPr>
        <w:t xml:space="preserve"> data dictionary will be developed to define each variable and establish standardized rules for data charting.</w:t>
      </w:r>
    </w:p>
    <w:p w:rsidRPr="005E65B2" w:rsidR="005E65B2" w:rsidP="005E65B2" w:rsidRDefault="005E65B2" w14:paraId="1CFD583F" w14:textId="5831045C">
      <w:pPr>
        <w:rPr>
          <w:rFonts w:ascii="Century Gothic" w:hAnsi="Century Gothic"/>
          <w:sz w:val="20"/>
          <w:szCs w:val="20"/>
        </w:rPr>
      </w:pPr>
      <w:r w:rsidRPr="005E65B2">
        <w:rPr>
          <w:rFonts w:ascii="Century Gothic" w:hAnsi="Century Gothic"/>
          <w:sz w:val="20"/>
          <w:szCs w:val="20"/>
        </w:rPr>
        <w:t xml:space="preserve">Data will be </w:t>
      </w:r>
      <w:r>
        <w:rPr>
          <w:rFonts w:ascii="Century Gothic" w:hAnsi="Century Gothic"/>
          <w:sz w:val="20"/>
          <w:szCs w:val="20"/>
        </w:rPr>
        <w:t>charted</w:t>
      </w:r>
      <w:r w:rsidRPr="005E65B2">
        <w:rPr>
          <w:rFonts w:ascii="Century Gothic" w:hAnsi="Century Gothic"/>
          <w:sz w:val="20"/>
          <w:szCs w:val="20"/>
        </w:rPr>
        <w:t xml:space="preserve"> by one reviewer and independently verified by a second reviewer. Discrepancies will be resolved through discussion and consensus</w:t>
      </w:r>
      <w:r>
        <w:rPr>
          <w:rFonts w:ascii="Century Gothic" w:hAnsi="Century Gothic"/>
          <w:sz w:val="20"/>
          <w:szCs w:val="20"/>
        </w:rPr>
        <w:t xml:space="preserve">. </w:t>
      </w:r>
      <w:r w:rsidRPr="005E65B2">
        <w:rPr>
          <w:rFonts w:ascii="Century Gothic" w:hAnsi="Century Gothic"/>
          <w:sz w:val="20"/>
          <w:szCs w:val="20"/>
        </w:rPr>
        <w:t>Unclear or missing information will be recorded as such rather than inferred when it cannot be determined from the published report.</w:t>
      </w:r>
    </w:p>
    <w:p w:rsidR="005E65B2" w:rsidP="005E65B2" w:rsidRDefault="005E65B2" w14:paraId="4E683445" w14:textId="55C87BC4">
      <w:pPr>
        <w:rPr>
          <w:rFonts w:ascii="Century Gothic" w:hAnsi="Century Gothic"/>
          <w:sz w:val="20"/>
          <w:szCs w:val="20"/>
          <w:u w:val="single"/>
        </w:rPr>
      </w:pPr>
      <w:r>
        <w:rPr>
          <w:rFonts w:ascii="Century Gothic" w:hAnsi="Century Gothic"/>
          <w:sz w:val="20"/>
          <w:szCs w:val="20"/>
          <w:u w:val="single"/>
        </w:rPr>
        <w:t>Data Items</w:t>
      </w:r>
    </w:p>
    <w:p w:rsidRPr="008B4920" w:rsidR="005E65B2" w:rsidP="005E65B2" w:rsidRDefault="005E65B2" w14:paraId="7086826C" w14:textId="546A7A9E">
      <w:pPr>
        <w:rPr>
          <w:rFonts w:ascii="Century Gothic" w:hAnsi="Century Gothic"/>
          <w:sz w:val="20"/>
          <w:szCs w:val="20"/>
        </w:rPr>
      </w:pPr>
      <w:r w:rsidRPr="005E65B2">
        <w:rPr>
          <w:rFonts w:ascii="Century Gothic" w:hAnsi="Century Gothic"/>
          <w:sz w:val="20"/>
          <w:szCs w:val="20"/>
        </w:rPr>
        <w:t xml:space="preserve">Data items are anticipated to </w:t>
      </w:r>
      <w:proofErr w:type="gramStart"/>
      <w:r w:rsidRPr="005E65B2">
        <w:rPr>
          <w:rFonts w:ascii="Century Gothic" w:hAnsi="Century Gothic"/>
          <w:sz w:val="20"/>
          <w:szCs w:val="20"/>
        </w:rPr>
        <w:t>include:</w:t>
      </w:r>
      <w:proofErr w:type="gramEnd"/>
      <w:r>
        <w:rPr>
          <w:rFonts w:ascii="Century Gothic" w:hAnsi="Century Gothic"/>
          <w:sz w:val="20"/>
          <w:szCs w:val="20"/>
        </w:rPr>
        <w:t xml:space="preserve"> a</w:t>
      </w:r>
      <w:r w:rsidRPr="005E65B2">
        <w:rPr>
          <w:rFonts w:ascii="Century Gothic" w:hAnsi="Century Gothic"/>
          <w:sz w:val="20"/>
          <w:szCs w:val="20"/>
        </w:rPr>
        <w:t>uthor</w:t>
      </w:r>
      <w:r>
        <w:rPr>
          <w:rFonts w:ascii="Century Gothic" w:hAnsi="Century Gothic"/>
          <w:sz w:val="20"/>
          <w:szCs w:val="20"/>
        </w:rPr>
        <w:t>, y</w:t>
      </w:r>
      <w:r w:rsidRPr="005E65B2">
        <w:rPr>
          <w:rFonts w:ascii="Century Gothic" w:hAnsi="Century Gothic"/>
          <w:sz w:val="20"/>
          <w:szCs w:val="20"/>
        </w:rPr>
        <w:t>ear of publication</w:t>
      </w:r>
      <w:r>
        <w:rPr>
          <w:rFonts w:ascii="Century Gothic" w:hAnsi="Century Gothic"/>
          <w:sz w:val="20"/>
          <w:szCs w:val="20"/>
        </w:rPr>
        <w:t>, c</w:t>
      </w:r>
      <w:r w:rsidRPr="005E65B2">
        <w:rPr>
          <w:rFonts w:ascii="Century Gothic" w:hAnsi="Century Gothic"/>
          <w:sz w:val="20"/>
          <w:szCs w:val="20"/>
        </w:rPr>
        <w:t>ountry</w:t>
      </w:r>
      <w:r>
        <w:rPr>
          <w:rFonts w:ascii="Century Gothic" w:hAnsi="Century Gothic"/>
          <w:sz w:val="20"/>
          <w:szCs w:val="20"/>
        </w:rPr>
        <w:t>, s</w:t>
      </w:r>
      <w:r w:rsidRPr="005E65B2">
        <w:rPr>
          <w:rFonts w:ascii="Century Gothic" w:hAnsi="Century Gothic"/>
          <w:sz w:val="20"/>
          <w:szCs w:val="20"/>
        </w:rPr>
        <w:t>tudy design</w:t>
      </w:r>
      <w:r>
        <w:rPr>
          <w:rFonts w:ascii="Century Gothic" w:hAnsi="Century Gothic"/>
          <w:sz w:val="20"/>
          <w:szCs w:val="20"/>
        </w:rPr>
        <w:t>, n</w:t>
      </w:r>
      <w:r w:rsidRPr="005E65B2">
        <w:rPr>
          <w:rFonts w:ascii="Century Gothic" w:hAnsi="Century Gothic"/>
          <w:sz w:val="20"/>
          <w:szCs w:val="20"/>
        </w:rPr>
        <w:t>eurologic diagnosis</w:t>
      </w:r>
      <w:r>
        <w:rPr>
          <w:rFonts w:ascii="Century Gothic" w:hAnsi="Century Gothic"/>
          <w:sz w:val="20"/>
          <w:szCs w:val="20"/>
        </w:rPr>
        <w:t>, s</w:t>
      </w:r>
      <w:r w:rsidRPr="005E65B2">
        <w:rPr>
          <w:rFonts w:ascii="Century Gothic" w:hAnsi="Century Gothic"/>
          <w:sz w:val="20"/>
          <w:szCs w:val="20"/>
        </w:rPr>
        <w:t>ample siz</w:t>
      </w:r>
      <w:r>
        <w:rPr>
          <w:rFonts w:ascii="Century Gothic" w:hAnsi="Century Gothic"/>
          <w:sz w:val="20"/>
          <w:szCs w:val="20"/>
        </w:rPr>
        <w:t>e, p</w:t>
      </w:r>
      <w:r w:rsidRPr="005E65B2">
        <w:rPr>
          <w:rFonts w:ascii="Century Gothic" w:hAnsi="Century Gothic"/>
          <w:sz w:val="20"/>
          <w:szCs w:val="20"/>
        </w:rPr>
        <w:t>articipant characteristics</w:t>
      </w:r>
      <w:r>
        <w:rPr>
          <w:rFonts w:ascii="Century Gothic" w:hAnsi="Century Gothic"/>
          <w:sz w:val="20"/>
          <w:szCs w:val="20"/>
        </w:rPr>
        <w:t>, or</w:t>
      </w:r>
      <w:r w:rsidRPr="005E65B2">
        <w:rPr>
          <w:rFonts w:ascii="Century Gothic" w:hAnsi="Century Gothic"/>
          <w:sz w:val="20"/>
          <w:szCs w:val="20"/>
        </w:rPr>
        <w:t>al pharmacologic agent</w:t>
      </w:r>
      <w:r>
        <w:rPr>
          <w:rFonts w:ascii="Century Gothic" w:hAnsi="Century Gothic"/>
          <w:sz w:val="20"/>
          <w:szCs w:val="20"/>
        </w:rPr>
        <w:t>, d</w:t>
      </w:r>
      <w:r w:rsidRPr="005E65B2">
        <w:rPr>
          <w:rFonts w:ascii="Century Gothic" w:hAnsi="Century Gothic"/>
          <w:sz w:val="20"/>
          <w:szCs w:val="20"/>
        </w:rPr>
        <w:t>ose and dosing regimen</w:t>
      </w:r>
      <w:r>
        <w:rPr>
          <w:rFonts w:ascii="Century Gothic" w:hAnsi="Century Gothic"/>
          <w:sz w:val="20"/>
          <w:szCs w:val="20"/>
        </w:rPr>
        <w:t>, t</w:t>
      </w:r>
      <w:r w:rsidRPr="005E65B2">
        <w:rPr>
          <w:rFonts w:ascii="Century Gothic" w:hAnsi="Century Gothic"/>
          <w:sz w:val="20"/>
          <w:szCs w:val="20"/>
        </w:rPr>
        <w:t>reatment duration</w:t>
      </w:r>
      <w:r>
        <w:rPr>
          <w:rFonts w:ascii="Century Gothic" w:hAnsi="Century Gothic"/>
          <w:sz w:val="20"/>
          <w:szCs w:val="20"/>
        </w:rPr>
        <w:t xml:space="preserve">, </w:t>
      </w:r>
      <w:r w:rsidRPr="008B4920">
        <w:rPr>
          <w:rFonts w:ascii="Century Gothic" w:hAnsi="Century Gothic"/>
          <w:sz w:val="20"/>
          <w:szCs w:val="20"/>
        </w:rPr>
        <w:t xml:space="preserve">comparator (when applicable), measures of spasticity or muscle tone, functional outcomes, </w:t>
      </w:r>
      <w:r w:rsidR="008B4920">
        <w:rPr>
          <w:rFonts w:ascii="Century Gothic" w:hAnsi="Century Gothic"/>
          <w:sz w:val="20"/>
          <w:szCs w:val="20"/>
        </w:rPr>
        <w:t xml:space="preserve">pain, quality of life, </w:t>
      </w:r>
      <w:r w:rsidRPr="008B4920">
        <w:rPr>
          <w:rFonts w:ascii="Century Gothic" w:hAnsi="Century Gothic"/>
          <w:sz w:val="20"/>
          <w:szCs w:val="20"/>
        </w:rPr>
        <w:t>other patient-centered outcomes, reported treatment effects, adverse effects, tolerability, and treatment discontinuation.</w:t>
      </w:r>
    </w:p>
    <w:p w:rsidRPr="008B4920" w:rsidR="005E65B2" w:rsidP="005E65B2" w:rsidRDefault="005E65B2" w14:paraId="0ADA8F21" w14:textId="735F443B">
      <w:pPr>
        <w:rPr>
          <w:rFonts w:ascii="Century Gothic" w:hAnsi="Century Gothic"/>
          <w:sz w:val="20"/>
          <w:szCs w:val="20"/>
        </w:rPr>
      </w:pPr>
      <w:r w:rsidRPr="008B4920">
        <w:rPr>
          <w:rFonts w:ascii="Century Gothic" w:hAnsi="Century Gothic"/>
          <w:sz w:val="20"/>
          <w:szCs w:val="20"/>
        </w:rPr>
        <w:t>Additional variables identified during the charting process may be added when necessary to adequately characterize the evidence relevant to the review questions. Any modifications to the data-charting form will be documented.</w:t>
      </w:r>
    </w:p>
    <w:p w:rsidRPr="008B4920" w:rsidR="005E65B2" w:rsidP="002B1014" w:rsidRDefault="005E65B2" w14:paraId="692F5E71" w14:textId="28C9912F">
      <w:pPr>
        <w:rPr>
          <w:rFonts w:ascii="Century Gothic" w:hAnsi="Century Gothic"/>
          <w:sz w:val="20"/>
          <w:szCs w:val="20"/>
          <w:u w:val="single"/>
        </w:rPr>
      </w:pPr>
      <w:r w:rsidRPr="008B4920">
        <w:rPr>
          <w:rFonts w:ascii="Century Gothic" w:hAnsi="Century Gothic"/>
          <w:sz w:val="20"/>
          <w:szCs w:val="20"/>
          <w:u w:val="single"/>
        </w:rPr>
        <w:t>Critical Appraisal of Individual Sources of Evidence</w:t>
      </w:r>
    </w:p>
    <w:p w:rsidRPr="008B4920" w:rsidR="008B4920" w:rsidP="002B1014" w:rsidRDefault="008B4920" w14:paraId="228AD8BB" w14:textId="77777777">
      <w:pPr>
        <w:rPr>
          <w:rFonts w:ascii="Century Gothic" w:hAnsi="Century Gothic"/>
          <w:sz w:val="20"/>
          <w:szCs w:val="20"/>
        </w:rPr>
      </w:pPr>
      <w:r w:rsidRPr="008B4920">
        <w:rPr>
          <w:rFonts w:ascii="Century Gothic" w:hAnsi="Century Gothic"/>
          <w:sz w:val="20"/>
          <w:szCs w:val="20"/>
        </w:rPr>
        <w:t>Formal assessment of methodological quality or risk of bias will not be performed. Consistent with the purpose of this scoping review, the objective is to map the extent, characteristics, and gaps of the available literature rather than determine pooled treatment efficacy or generate recommendations based on certainty of evidence.</w:t>
      </w:r>
    </w:p>
    <w:p w:rsidR="005E65B2" w:rsidP="002B1014" w:rsidRDefault="005E65B2" w14:paraId="35C2D95E" w14:textId="0518C6AF">
      <w:pPr>
        <w:rPr>
          <w:rFonts w:ascii="Century Gothic" w:hAnsi="Century Gothic"/>
          <w:sz w:val="20"/>
          <w:szCs w:val="20"/>
          <w:u w:val="single"/>
        </w:rPr>
      </w:pPr>
      <w:r>
        <w:rPr>
          <w:rFonts w:ascii="Century Gothic" w:hAnsi="Century Gothic"/>
          <w:sz w:val="20"/>
          <w:szCs w:val="20"/>
          <w:u w:val="single"/>
        </w:rPr>
        <w:t>Synthesis of Results</w:t>
      </w:r>
    </w:p>
    <w:p w:rsidR="005E65B2" w:rsidP="002B1014" w:rsidRDefault="005E65B2" w14:paraId="3844DAEC" w14:textId="45016CA7">
      <w:pPr>
        <w:rPr>
          <w:rFonts w:ascii="Century Gothic" w:hAnsi="Century Gothic"/>
          <w:sz w:val="20"/>
          <w:szCs w:val="20"/>
        </w:rPr>
      </w:pPr>
      <w:r w:rsidRPr="005E65B2">
        <w:rPr>
          <w:rFonts w:ascii="Century Gothic" w:hAnsi="Century Gothic"/>
          <w:sz w:val="20"/>
          <w:szCs w:val="20"/>
        </w:rPr>
        <w:t>Prior to synthesis, charted data will be reviewed for completeness, consistency, and potential errors. Data management will be performed using Microsoft Excel.</w:t>
      </w:r>
      <w:r>
        <w:rPr>
          <w:rFonts w:ascii="Century Gothic" w:hAnsi="Century Gothic"/>
          <w:sz w:val="20"/>
          <w:szCs w:val="20"/>
        </w:rPr>
        <w:t xml:space="preserve"> </w:t>
      </w:r>
    </w:p>
    <w:p w:rsidR="005E65B2" w:rsidP="002B1014" w:rsidRDefault="005E65B2" w14:paraId="139FA90A" w14:textId="44125B92">
      <w:pPr>
        <w:rPr>
          <w:rFonts w:ascii="Century Gothic" w:hAnsi="Century Gothic"/>
          <w:sz w:val="20"/>
          <w:szCs w:val="20"/>
        </w:rPr>
      </w:pPr>
      <w:r w:rsidRPr="005E65B2">
        <w:rPr>
          <w:rFonts w:ascii="Century Gothic" w:hAnsi="Century Gothic"/>
          <w:sz w:val="20"/>
          <w:szCs w:val="20"/>
        </w:rPr>
        <w:t>The characteristics of included studies will be summarized descriptively. Studies will be grouped primarily according to oral pharmacologic agent and secondarily according to underlying neurologic disorder.</w:t>
      </w:r>
      <w:r>
        <w:rPr>
          <w:rFonts w:ascii="Century Gothic" w:hAnsi="Century Gothic"/>
          <w:sz w:val="20"/>
          <w:szCs w:val="20"/>
        </w:rPr>
        <w:t xml:space="preserve"> </w:t>
      </w:r>
      <w:r w:rsidRPr="005E65B2">
        <w:rPr>
          <w:rFonts w:ascii="Century Gothic" w:hAnsi="Century Gothic"/>
          <w:sz w:val="20"/>
          <w:szCs w:val="20"/>
        </w:rPr>
        <w:t>Quantitative characteristics will be summarized using frequencies, proportions, ranges, and other descriptive measures as appropriate. Summary tables will be used to present study characteristics, pharmacologic treatments, dosing and duration, outcomes, treatment effects, and adverse effects.</w:t>
      </w:r>
    </w:p>
    <w:p w:rsidR="005E65B2" w:rsidP="002B1014" w:rsidRDefault="005E65B2" w14:paraId="3C5E363C" w14:textId="0F60B024">
      <w:pPr>
        <w:rPr>
          <w:rFonts w:ascii="Century Gothic" w:hAnsi="Century Gothic"/>
          <w:sz w:val="20"/>
          <w:szCs w:val="20"/>
        </w:rPr>
      </w:pPr>
      <w:r w:rsidRPr="005E65B2">
        <w:rPr>
          <w:rFonts w:ascii="Century Gothic" w:hAnsi="Century Gothic"/>
          <w:sz w:val="20"/>
          <w:szCs w:val="20"/>
        </w:rPr>
        <w:t>A narrative synthesis will accompany the tabulated findings and will describe patterns across medications and neurologic populations</w:t>
      </w:r>
      <w:r>
        <w:rPr>
          <w:rFonts w:ascii="Century Gothic" w:hAnsi="Century Gothic"/>
          <w:sz w:val="20"/>
          <w:szCs w:val="20"/>
        </w:rPr>
        <w:t xml:space="preserve">. </w:t>
      </w:r>
      <w:r w:rsidRPr="005E65B2">
        <w:rPr>
          <w:rFonts w:ascii="Century Gothic" w:hAnsi="Century Gothic"/>
          <w:sz w:val="20"/>
          <w:szCs w:val="20"/>
        </w:rPr>
        <w:t>Formal meta-analysis is not planned because the objective of the review is to map and characterize the available evidence rather than estimate a pooled treatment effect.</w:t>
      </w:r>
    </w:p>
    <w:p w:rsidR="005E65B2" w:rsidP="002B1014" w:rsidRDefault="005E65B2" w14:paraId="672749D9" w14:textId="448DFD80">
      <w:pPr>
        <w:rPr>
          <w:rFonts w:ascii="Century Gothic" w:hAnsi="Century Gothic"/>
          <w:sz w:val="20"/>
          <w:szCs w:val="20"/>
          <w:u w:val="single"/>
        </w:rPr>
      </w:pPr>
      <w:r>
        <w:rPr>
          <w:rFonts w:ascii="Century Gothic" w:hAnsi="Century Gothic"/>
          <w:sz w:val="20"/>
          <w:szCs w:val="20"/>
          <w:u w:val="single"/>
        </w:rPr>
        <w:lastRenderedPageBreak/>
        <w:t>Ethics and Dissemination</w:t>
      </w:r>
    </w:p>
    <w:p w:rsidRPr="005E65B2" w:rsidR="005E65B2" w:rsidP="002B1014" w:rsidRDefault="005E65B2" w14:paraId="23F48877" w14:textId="309C99E5">
      <w:pPr>
        <w:rPr>
          <w:rFonts w:ascii="Century Gothic" w:hAnsi="Century Gothic"/>
          <w:sz w:val="20"/>
          <w:szCs w:val="20"/>
        </w:rPr>
      </w:pPr>
      <w:r w:rsidRPr="005E65B2">
        <w:rPr>
          <w:rFonts w:ascii="Century Gothic" w:hAnsi="Century Gothic"/>
          <w:sz w:val="20"/>
          <w:szCs w:val="20"/>
        </w:rPr>
        <w:t xml:space="preserve">The findings are intended for publication in </w:t>
      </w:r>
      <w:proofErr w:type="spellStart"/>
      <w:r w:rsidRPr="005E65B2">
        <w:rPr>
          <w:rFonts w:ascii="Century Gothic" w:hAnsi="Century Gothic"/>
          <w:i/>
          <w:iCs/>
          <w:sz w:val="20"/>
          <w:szCs w:val="20"/>
        </w:rPr>
        <w:t>NeuroRehabilitation</w:t>
      </w:r>
      <w:proofErr w:type="spellEnd"/>
      <w:r w:rsidRPr="005E65B2">
        <w:rPr>
          <w:rFonts w:ascii="Century Gothic" w:hAnsi="Century Gothic"/>
          <w:i/>
          <w:iCs/>
          <w:sz w:val="20"/>
          <w:szCs w:val="20"/>
        </w:rPr>
        <w:t xml:space="preserve"> </w:t>
      </w:r>
      <w:r w:rsidRPr="005E65B2">
        <w:rPr>
          <w:rFonts w:ascii="Century Gothic" w:hAnsi="Century Gothic"/>
          <w:sz w:val="20"/>
          <w:szCs w:val="20"/>
        </w:rPr>
        <w:t>and may also be disseminated through scientific presentations and other academic forums.</w:t>
      </w:r>
    </w:p>
    <w:p w:rsidR="002B1014" w:rsidP="002B1014" w:rsidRDefault="002B1014" w14:paraId="3D1AC8A9" w14:textId="649FE5D0">
      <w:pPr>
        <w:rPr>
          <w:rFonts w:ascii="Century Gothic" w:hAnsi="Century Gothic"/>
          <w:b/>
          <w:bCs/>
          <w:sz w:val="20"/>
          <w:szCs w:val="20"/>
        </w:rPr>
      </w:pPr>
      <w:r w:rsidRPr="002B1014">
        <w:rPr>
          <w:rFonts w:ascii="Century Gothic" w:hAnsi="Century Gothic"/>
          <w:b/>
          <w:bCs/>
          <w:sz w:val="20"/>
          <w:szCs w:val="20"/>
        </w:rPr>
        <w:t>Conclusion</w:t>
      </w:r>
    </w:p>
    <w:p w:rsidRPr="00F67F5D" w:rsidR="00F67F5D" w:rsidP="002B1014" w:rsidRDefault="00F67F5D" w14:paraId="0B315937" w14:textId="0D4C863E">
      <w:pPr>
        <w:rPr>
          <w:rFonts w:ascii="Century Gothic" w:hAnsi="Century Gothic"/>
          <w:sz w:val="20"/>
          <w:szCs w:val="20"/>
        </w:rPr>
      </w:pPr>
      <w:r w:rsidRPr="00F67F5D">
        <w:rPr>
          <w:rFonts w:ascii="Century Gothic" w:hAnsi="Century Gothic"/>
          <w:sz w:val="20"/>
          <w:szCs w:val="20"/>
        </w:rPr>
        <w:t>This scoping review will map the available evidence regarding oral pharmacologic management of spasticity in adults with neurologic disorders. By characterizing the medications studied, dosing regimens, treatment durations, outcome measures, treatment effects, and adverse effects reported in the literature, this review will provide an overview of the current evidence base and identify areas where additional research is needed.</w:t>
      </w:r>
    </w:p>
    <w:p w:rsidR="002B1014" w:rsidP="002B1014" w:rsidRDefault="002B1014" w14:paraId="6EBB3953" w14:textId="0A0F46D5">
      <w:pPr>
        <w:rPr>
          <w:rFonts w:ascii="Century Gothic" w:hAnsi="Century Gothic"/>
          <w:b/>
          <w:bCs/>
          <w:sz w:val="20"/>
          <w:szCs w:val="20"/>
        </w:rPr>
      </w:pPr>
      <w:r w:rsidRPr="002B1014">
        <w:rPr>
          <w:rFonts w:ascii="Century Gothic" w:hAnsi="Century Gothic"/>
          <w:b/>
          <w:bCs/>
          <w:sz w:val="20"/>
          <w:szCs w:val="20"/>
        </w:rPr>
        <w:t>Supporting/Funding</w:t>
      </w:r>
    </w:p>
    <w:p w:rsidRPr="00F67F5D" w:rsidR="00F67F5D" w:rsidP="002B1014" w:rsidRDefault="00F67F5D" w14:paraId="21DDB55C" w14:textId="761776A9">
      <w:pPr>
        <w:rPr>
          <w:rFonts w:ascii="Century Gothic" w:hAnsi="Century Gothic"/>
          <w:sz w:val="20"/>
          <w:szCs w:val="20"/>
        </w:rPr>
      </w:pPr>
      <w:r w:rsidRPr="00F67F5D">
        <w:rPr>
          <w:rFonts w:ascii="Century Gothic" w:hAnsi="Century Gothic"/>
          <w:sz w:val="20"/>
          <w:szCs w:val="20"/>
        </w:rPr>
        <w:t>No external funding was received for this study.</w:t>
      </w:r>
    </w:p>
    <w:p w:rsidR="002B1014" w:rsidP="002B1014" w:rsidRDefault="002B1014" w14:paraId="7E7AB6A3" w14:textId="3C7FEB8D">
      <w:pPr>
        <w:rPr>
          <w:rFonts w:ascii="Century Gothic" w:hAnsi="Century Gothic"/>
          <w:b/>
          <w:bCs/>
          <w:sz w:val="20"/>
          <w:szCs w:val="20"/>
        </w:rPr>
      </w:pPr>
      <w:r w:rsidRPr="002B1014">
        <w:rPr>
          <w:rFonts w:ascii="Century Gothic" w:hAnsi="Century Gothic"/>
          <w:b/>
          <w:bCs/>
          <w:sz w:val="20"/>
          <w:szCs w:val="20"/>
        </w:rPr>
        <w:t>Conflicts of Interest</w:t>
      </w:r>
    </w:p>
    <w:p w:rsidRPr="00F67F5D" w:rsidR="00F67F5D" w:rsidP="002B1014" w:rsidRDefault="00F67F5D" w14:paraId="3DB7A312" w14:textId="454B5423">
      <w:pPr>
        <w:rPr>
          <w:rFonts w:ascii="Century Gothic" w:hAnsi="Century Gothic"/>
          <w:sz w:val="20"/>
          <w:szCs w:val="20"/>
        </w:rPr>
      </w:pPr>
      <w:r w:rsidRPr="00F67F5D">
        <w:rPr>
          <w:rFonts w:ascii="Century Gothic" w:hAnsi="Century Gothic"/>
          <w:sz w:val="20"/>
          <w:szCs w:val="20"/>
        </w:rPr>
        <w:t>The authors declare no conflicts of interest relevant to this work.</w:t>
      </w:r>
    </w:p>
    <w:p w:rsidR="002B1014" w:rsidP="002B1014" w:rsidRDefault="002B1014" w14:paraId="76EC3349" w14:textId="33399399">
      <w:pPr>
        <w:rPr>
          <w:rFonts w:ascii="Century Gothic" w:hAnsi="Century Gothic"/>
          <w:b/>
          <w:bCs/>
          <w:sz w:val="20"/>
          <w:szCs w:val="20"/>
        </w:rPr>
      </w:pPr>
      <w:r w:rsidRPr="002B1014">
        <w:rPr>
          <w:rFonts w:ascii="Century Gothic" w:hAnsi="Century Gothic"/>
          <w:b/>
          <w:bCs/>
          <w:sz w:val="20"/>
          <w:szCs w:val="20"/>
        </w:rPr>
        <w:t xml:space="preserve">References </w:t>
      </w:r>
    </w:p>
    <w:p w:rsidRPr="00F67F5D" w:rsidR="00F67F5D" w:rsidP="00F67F5D" w:rsidRDefault="00F67F5D" w14:paraId="5AE9DD1C" w14:textId="77777777">
      <w:pPr>
        <w:pStyle w:val="Bibliography"/>
        <w:rPr>
          <w:rFonts w:ascii="Century Gothic" w:hAnsi="Century Gothic"/>
          <w:sz w:val="20"/>
        </w:rPr>
      </w:pPr>
      <w:r>
        <w:rPr>
          <w:rFonts w:ascii="Century Gothic" w:hAnsi="Century Gothic"/>
          <w:sz w:val="20"/>
          <w:szCs w:val="20"/>
        </w:rPr>
        <w:fldChar w:fldCharType="begin"/>
      </w:r>
      <w:r>
        <w:rPr>
          <w:rFonts w:ascii="Century Gothic" w:hAnsi="Century Gothic"/>
          <w:sz w:val="20"/>
          <w:szCs w:val="20"/>
        </w:rPr>
        <w:instrText xml:space="preserve"> ADDIN ZOTERO_BIBL {"uncited":[],"omitted":[],"custom":[]} CSL_BIBLIOGRAPHY </w:instrText>
      </w:r>
      <w:r>
        <w:rPr>
          <w:rFonts w:ascii="Century Gothic" w:hAnsi="Century Gothic"/>
          <w:sz w:val="20"/>
          <w:szCs w:val="20"/>
        </w:rPr>
        <w:fldChar w:fldCharType="separate"/>
      </w:r>
      <w:r w:rsidRPr="00F67F5D">
        <w:rPr>
          <w:rFonts w:ascii="Century Gothic" w:hAnsi="Century Gothic"/>
          <w:sz w:val="20"/>
        </w:rPr>
        <w:t xml:space="preserve">Chang, E., Ghosh, N., Yanni, D., Lee, S., Alexandru, D., &amp; Mozaffar, T. (2013). A Review of Spasticity Treatments: Pharmacological and Interventional Approaches. </w:t>
      </w:r>
      <w:r w:rsidRPr="00F67F5D">
        <w:rPr>
          <w:rFonts w:ascii="Century Gothic" w:hAnsi="Century Gothic"/>
          <w:i/>
          <w:iCs/>
          <w:sz w:val="20"/>
        </w:rPr>
        <w:t>Critical Reviews in Physical and Rehabilitation Medicine</w:t>
      </w:r>
      <w:r w:rsidRPr="00F67F5D">
        <w:rPr>
          <w:rFonts w:ascii="Century Gothic" w:hAnsi="Century Gothic"/>
          <w:sz w:val="20"/>
        </w:rPr>
        <w:t xml:space="preserve">, </w:t>
      </w:r>
      <w:r w:rsidRPr="00F67F5D">
        <w:rPr>
          <w:rFonts w:ascii="Century Gothic" w:hAnsi="Century Gothic"/>
          <w:i/>
          <w:iCs/>
          <w:sz w:val="20"/>
        </w:rPr>
        <w:t>25</w:t>
      </w:r>
      <w:r w:rsidRPr="00F67F5D">
        <w:rPr>
          <w:rFonts w:ascii="Century Gothic" w:hAnsi="Century Gothic"/>
          <w:sz w:val="20"/>
        </w:rPr>
        <w:t>(1–2), 11–22. https://doi.org/10.1615/CritRevPhysRehabilMed.2013007945</w:t>
      </w:r>
    </w:p>
    <w:p w:rsidRPr="00F67F5D" w:rsidR="00F67F5D" w:rsidP="00F67F5D" w:rsidRDefault="00F67F5D" w14:paraId="58D451B6" w14:textId="77777777">
      <w:pPr>
        <w:pStyle w:val="Bibliography"/>
        <w:rPr>
          <w:rFonts w:ascii="Century Gothic" w:hAnsi="Century Gothic"/>
          <w:sz w:val="20"/>
        </w:rPr>
      </w:pPr>
      <w:r w:rsidRPr="00F67F5D">
        <w:rPr>
          <w:rFonts w:ascii="Century Gothic" w:hAnsi="Century Gothic"/>
          <w:sz w:val="20"/>
        </w:rPr>
        <w:t xml:space="preserve">Montané, E., Vallano, A., &amp; Laporte, J. R. (2004). Oral antispastic drugs in nonprogressive neurologic diseases: A systematic review. </w:t>
      </w:r>
      <w:r w:rsidRPr="00F67F5D">
        <w:rPr>
          <w:rFonts w:ascii="Century Gothic" w:hAnsi="Century Gothic"/>
          <w:i/>
          <w:iCs/>
          <w:sz w:val="20"/>
        </w:rPr>
        <w:t>Neurology</w:t>
      </w:r>
      <w:r w:rsidRPr="00F67F5D">
        <w:rPr>
          <w:rFonts w:ascii="Century Gothic" w:hAnsi="Century Gothic"/>
          <w:sz w:val="20"/>
        </w:rPr>
        <w:t xml:space="preserve">, </w:t>
      </w:r>
      <w:r w:rsidRPr="00F67F5D">
        <w:rPr>
          <w:rFonts w:ascii="Century Gothic" w:hAnsi="Century Gothic"/>
          <w:i/>
          <w:iCs/>
          <w:sz w:val="20"/>
        </w:rPr>
        <w:t>63</w:t>
      </w:r>
      <w:r w:rsidRPr="00F67F5D">
        <w:rPr>
          <w:rFonts w:ascii="Century Gothic" w:hAnsi="Century Gothic"/>
          <w:sz w:val="20"/>
        </w:rPr>
        <w:t>(8), 1357–1363. https://doi.org/10.1212/01.WNL.0000141863.52691.44</w:t>
      </w:r>
    </w:p>
    <w:p w:rsidRPr="00F67F5D" w:rsidR="00F67F5D" w:rsidP="00F67F5D" w:rsidRDefault="00F67F5D" w14:paraId="644FAB73" w14:textId="77777777">
      <w:pPr>
        <w:pStyle w:val="Bibliography"/>
        <w:rPr>
          <w:rFonts w:ascii="Century Gothic" w:hAnsi="Century Gothic"/>
          <w:sz w:val="20"/>
        </w:rPr>
      </w:pPr>
      <w:r w:rsidRPr="00F67F5D">
        <w:rPr>
          <w:rFonts w:ascii="Century Gothic" w:hAnsi="Century Gothic"/>
          <w:sz w:val="20"/>
        </w:rPr>
        <w:t xml:space="preserve">Peters, M. D., Godfrey, C., McInerney, P., Munn, Z., Tricco, A. C., &amp; Khalil, H. (2024). Scoping reviews. In E. Aromataris, C. Lockwood, K. Porritt, B. Pilla, &amp; Z. Jordan (Eds.), </w:t>
      </w:r>
      <w:r w:rsidRPr="00F67F5D">
        <w:rPr>
          <w:rFonts w:ascii="Century Gothic" w:hAnsi="Century Gothic"/>
          <w:i/>
          <w:iCs/>
          <w:sz w:val="20"/>
        </w:rPr>
        <w:t>JBI Manual for Evidence Synthesis</w:t>
      </w:r>
      <w:r w:rsidRPr="00F67F5D">
        <w:rPr>
          <w:rFonts w:ascii="Century Gothic" w:hAnsi="Century Gothic"/>
          <w:sz w:val="20"/>
        </w:rPr>
        <w:t>. JBI. https://doi.org/10.46658/JBIMES-24-09</w:t>
      </w:r>
    </w:p>
    <w:p w:rsidRPr="00F67F5D" w:rsidR="00F67F5D" w:rsidP="00F67F5D" w:rsidRDefault="00F67F5D" w14:paraId="5F71500A" w14:textId="77777777">
      <w:pPr>
        <w:pStyle w:val="Bibliography"/>
        <w:rPr>
          <w:rFonts w:ascii="Century Gothic" w:hAnsi="Century Gothic"/>
          <w:sz w:val="20"/>
        </w:rPr>
      </w:pPr>
      <w:r w:rsidRPr="00F67F5D">
        <w:rPr>
          <w:rFonts w:ascii="Century Gothic" w:hAnsi="Century Gothic"/>
          <w:sz w:val="20"/>
        </w:rPr>
        <w:t xml:space="preserve">Thibaut, A., Chatelle, C., Ziegler, E., Bruno, M.-A., Laureys, S., &amp; Gosseries, O. (2013). Spasticity after stroke: Physiology, assessment and treatment. </w:t>
      </w:r>
      <w:r w:rsidRPr="00F67F5D">
        <w:rPr>
          <w:rFonts w:ascii="Century Gothic" w:hAnsi="Century Gothic"/>
          <w:i/>
          <w:iCs/>
          <w:sz w:val="20"/>
        </w:rPr>
        <w:t>Brain Injury</w:t>
      </w:r>
      <w:r w:rsidRPr="00F67F5D">
        <w:rPr>
          <w:rFonts w:ascii="Century Gothic" w:hAnsi="Century Gothic"/>
          <w:sz w:val="20"/>
        </w:rPr>
        <w:t xml:space="preserve">, </w:t>
      </w:r>
      <w:r w:rsidRPr="00F67F5D">
        <w:rPr>
          <w:rFonts w:ascii="Century Gothic" w:hAnsi="Century Gothic"/>
          <w:i/>
          <w:iCs/>
          <w:sz w:val="20"/>
        </w:rPr>
        <w:t>27</w:t>
      </w:r>
      <w:r w:rsidRPr="00F67F5D">
        <w:rPr>
          <w:rFonts w:ascii="Century Gothic" w:hAnsi="Century Gothic"/>
          <w:sz w:val="20"/>
        </w:rPr>
        <w:t>(10), 1093–1105. https://doi.org/10.3109/02699052.2013.804202</w:t>
      </w:r>
    </w:p>
    <w:p w:rsidRPr="00F67F5D" w:rsidR="00F67F5D" w:rsidP="00F67F5D" w:rsidRDefault="00F67F5D" w14:paraId="191873BD" w14:textId="77777777">
      <w:pPr>
        <w:pStyle w:val="Bibliography"/>
        <w:rPr>
          <w:rFonts w:ascii="Century Gothic" w:hAnsi="Century Gothic"/>
          <w:sz w:val="20"/>
        </w:rPr>
      </w:pPr>
      <w:r w:rsidRPr="00F67F5D">
        <w:rPr>
          <w:rFonts w:ascii="Century Gothic" w:hAnsi="Century Gothic"/>
          <w:sz w:val="20"/>
        </w:rPr>
        <w:t xml:space="preserve">Tricco, A. C., Lillie, E., Zarin, W., O’Brien, K. K., Colquhoun, H., Levac, D., Moher, D., Peters, M. D. J., Horsley, T., Weeks, L., Hempel, S., Akl, E. A., Chang, C., McGowan, J., Stewart, L., Hartling, L., Aldcroft, A., Wilson, M. G., Garritty, C., … Straus, S. E. (2018). PRISMA Extension for Scoping Reviews (PRISMA-ScR): Checklist and Explanation. </w:t>
      </w:r>
      <w:r w:rsidRPr="00F67F5D">
        <w:rPr>
          <w:rFonts w:ascii="Century Gothic" w:hAnsi="Century Gothic"/>
          <w:i/>
          <w:iCs/>
          <w:sz w:val="20"/>
        </w:rPr>
        <w:t>Annals of Internal Medicine</w:t>
      </w:r>
      <w:r w:rsidRPr="00F67F5D">
        <w:rPr>
          <w:rFonts w:ascii="Century Gothic" w:hAnsi="Century Gothic"/>
          <w:sz w:val="20"/>
        </w:rPr>
        <w:t xml:space="preserve">, </w:t>
      </w:r>
      <w:r w:rsidRPr="00F67F5D">
        <w:rPr>
          <w:rFonts w:ascii="Century Gothic" w:hAnsi="Century Gothic"/>
          <w:i/>
          <w:iCs/>
          <w:sz w:val="20"/>
        </w:rPr>
        <w:t>169</w:t>
      </w:r>
      <w:r w:rsidRPr="00F67F5D">
        <w:rPr>
          <w:rFonts w:ascii="Century Gothic" w:hAnsi="Century Gothic"/>
          <w:sz w:val="20"/>
        </w:rPr>
        <w:t>(7), 467–473. https://doi.org/10.7326/M18-0850</w:t>
      </w:r>
    </w:p>
    <w:p w:rsidRPr="00F67F5D" w:rsidR="00F67F5D" w:rsidP="002B1014" w:rsidRDefault="00F67F5D" w14:paraId="64DE2D13" w14:textId="5A1CE6E9">
      <w:pPr>
        <w:rPr>
          <w:rFonts w:ascii="Century Gothic" w:hAnsi="Century Gothic"/>
          <w:sz w:val="20"/>
          <w:szCs w:val="20"/>
        </w:rPr>
      </w:pPr>
      <w:r>
        <w:rPr>
          <w:rFonts w:ascii="Century Gothic" w:hAnsi="Century Gothic"/>
          <w:sz w:val="20"/>
          <w:szCs w:val="20"/>
        </w:rPr>
        <w:fldChar w:fldCharType="end"/>
      </w:r>
    </w:p>
    <w:p w:rsidRPr="002B1014" w:rsidR="002B1014" w:rsidP="002B1014" w:rsidRDefault="002B1014" w14:paraId="5627FEB9" w14:textId="77777777">
      <w:pPr>
        <w:rPr>
          <w:rFonts w:ascii="Century Gothic" w:hAnsi="Century Gothic"/>
          <w:b/>
          <w:bCs/>
          <w:sz w:val="20"/>
          <w:szCs w:val="20"/>
        </w:rPr>
      </w:pPr>
    </w:p>
    <w:p w:rsidRPr="002B1014" w:rsidR="002B1014" w:rsidP="002B1014" w:rsidRDefault="002B1014" w14:paraId="54AAED30" w14:textId="77777777">
      <w:pPr>
        <w:rPr>
          <w:b/>
          <w:bCs/>
        </w:rPr>
      </w:pPr>
    </w:p>
    <w:sectPr w:rsidRPr="002B1014" w:rsidR="002B1014" w:rsidSect="005E65B2">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xmlns:w="http://schemas.openxmlformats.org/wordprocessingml/2006/main" w:abstractNumId="4">
    <w:nsid w:val="2e99399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1447218C"/>
    <w:multiLevelType w:val="hybridMultilevel"/>
    <w:tmpl w:val="4AF028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6DB5515"/>
    <w:multiLevelType w:val="hybridMultilevel"/>
    <w:tmpl w:val="B75832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434E4C42"/>
    <w:multiLevelType w:val="hybridMultilevel"/>
    <w:tmpl w:val="E6B8E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101FD2"/>
    <w:multiLevelType w:val="hybridMultilevel"/>
    <w:tmpl w:val="067AE4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5">
    <w:abstractNumId w:val="4"/>
  </w:num>
  <w:num w:numId="1" w16cid:durableId="1917084135">
    <w:abstractNumId w:val="0"/>
  </w:num>
  <w:num w:numId="2" w16cid:durableId="1502309522">
    <w:abstractNumId w:val="3"/>
  </w:num>
  <w:num w:numId="3" w16cid:durableId="1878007073">
    <w:abstractNumId w:val="1"/>
  </w:num>
  <w:num w:numId="4" w16cid:durableId="152910534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014"/>
    <w:rsid w:val="000201FA"/>
    <w:rsid w:val="001135E4"/>
    <w:rsid w:val="00135C9E"/>
    <w:rsid w:val="0024407D"/>
    <w:rsid w:val="002B1014"/>
    <w:rsid w:val="00345A39"/>
    <w:rsid w:val="004D2889"/>
    <w:rsid w:val="00597E29"/>
    <w:rsid w:val="005E65B2"/>
    <w:rsid w:val="00620285"/>
    <w:rsid w:val="0063214D"/>
    <w:rsid w:val="008A06E4"/>
    <w:rsid w:val="008B4920"/>
    <w:rsid w:val="00962E29"/>
    <w:rsid w:val="00A43E6A"/>
    <w:rsid w:val="00B11B41"/>
    <w:rsid w:val="00B42149"/>
    <w:rsid w:val="00C922EF"/>
    <w:rsid w:val="00F67F5D"/>
    <w:rsid w:val="0D0782D0"/>
    <w:rsid w:val="117C0A1B"/>
    <w:rsid w:val="1BD337FC"/>
    <w:rsid w:val="1C21AE6F"/>
    <w:rsid w:val="1E5A9092"/>
    <w:rsid w:val="202FE5AF"/>
    <w:rsid w:val="28490CBF"/>
    <w:rsid w:val="386F30F6"/>
    <w:rsid w:val="3BECA001"/>
    <w:rsid w:val="3C795B80"/>
    <w:rsid w:val="3ED553BA"/>
    <w:rsid w:val="414BE1E7"/>
    <w:rsid w:val="48018F46"/>
    <w:rsid w:val="49C95F07"/>
    <w:rsid w:val="553DE7AF"/>
    <w:rsid w:val="5572FC43"/>
    <w:rsid w:val="5A774594"/>
    <w:rsid w:val="5F51E9EE"/>
    <w:rsid w:val="63F24495"/>
    <w:rsid w:val="76484ED5"/>
    <w:rsid w:val="7E331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0802C3"/>
  <w15:chartTrackingRefBased/>
  <w15:docId w15:val="{662BE478-1158-334C-BBC2-70E05F385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B101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101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10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10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10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10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10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10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101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B101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B101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B101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B101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B101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B101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B101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B101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B1014"/>
    <w:rPr>
      <w:rFonts w:eastAsiaTheme="majorEastAsia" w:cstheme="majorBidi"/>
      <w:color w:val="272727" w:themeColor="text1" w:themeTint="D8"/>
    </w:rPr>
  </w:style>
  <w:style w:type="paragraph" w:styleId="Title">
    <w:name w:val="Title"/>
    <w:basedOn w:val="Normal"/>
    <w:next w:val="Normal"/>
    <w:link w:val="TitleChar"/>
    <w:uiPriority w:val="10"/>
    <w:qFormat/>
    <w:rsid w:val="002B101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B101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B101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B10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1014"/>
    <w:pPr>
      <w:spacing w:before="160"/>
      <w:jc w:val="center"/>
    </w:pPr>
    <w:rPr>
      <w:i/>
      <w:iCs/>
      <w:color w:val="404040" w:themeColor="text1" w:themeTint="BF"/>
    </w:rPr>
  </w:style>
  <w:style w:type="character" w:styleId="QuoteChar" w:customStyle="1">
    <w:name w:val="Quote Char"/>
    <w:basedOn w:val="DefaultParagraphFont"/>
    <w:link w:val="Quote"/>
    <w:uiPriority w:val="29"/>
    <w:rsid w:val="002B1014"/>
    <w:rPr>
      <w:i/>
      <w:iCs/>
      <w:color w:val="404040" w:themeColor="text1" w:themeTint="BF"/>
    </w:rPr>
  </w:style>
  <w:style w:type="paragraph" w:styleId="ListParagraph">
    <w:name w:val="List Paragraph"/>
    <w:basedOn w:val="Normal"/>
    <w:uiPriority w:val="34"/>
    <w:qFormat/>
    <w:rsid w:val="002B1014"/>
    <w:pPr>
      <w:ind w:left="720"/>
      <w:contextualSpacing/>
    </w:pPr>
  </w:style>
  <w:style w:type="character" w:styleId="IntenseEmphasis">
    <w:name w:val="Intense Emphasis"/>
    <w:basedOn w:val="DefaultParagraphFont"/>
    <w:uiPriority w:val="21"/>
    <w:qFormat/>
    <w:rsid w:val="002B1014"/>
    <w:rPr>
      <w:i/>
      <w:iCs/>
      <w:color w:val="0F4761" w:themeColor="accent1" w:themeShade="BF"/>
    </w:rPr>
  </w:style>
  <w:style w:type="paragraph" w:styleId="IntenseQuote">
    <w:name w:val="Intense Quote"/>
    <w:basedOn w:val="Normal"/>
    <w:next w:val="Normal"/>
    <w:link w:val="IntenseQuoteChar"/>
    <w:uiPriority w:val="30"/>
    <w:qFormat/>
    <w:rsid w:val="002B101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B1014"/>
    <w:rPr>
      <w:i/>
      <w:iCs/>
      <w:color w:val="0F4761" w:themeColor="accent1" w:themeShade="BF"/>
    </w:rPr>
  </w:style>
  <w:style w:type="character" w:styleId="IntenseReference">
    <w:name w:val="Intense Reference"/>
    <w:basedOn w:val="DefaultParagraphFont"/>
    <w:uiPriority w:val="32"/>
    <w:qFormat/>
    <w:rsid w:val="002B1014"/>
    <w:rPr>
      <w:b/>
      <w:bCs/>
      <w:smallCaps/>
      <w:color w:val="0F4761" w:themeColor="accent1" w:themeShade="BF"/>
      <w:spacing w:val="5"/>
    </w:rPr>
  </w:style>
  <w:style w:type="paragraph" w:styleId="isselectedend" w:customStyle="1">
    <w:name w:val="isselectedend"/>
    <w:basedOn w:val="Normal"/>
    <w:rsid w:val="005E65B2"/>
    <w:pPr>
      <w:spacing w:before="100" w:beforeAutospacing="1" w:after="100" w:afterAutospacing="1" w:line="240" w:lineRule="auto"/>
    </w:pPr>
    <w:rPr>
      <w:rFonts w:ascii="Times New Roman" w:hAnsi="Times New Roman" w:eastAsia="Times New Roman" w:cs="Times New Roman"/>
      <w:kern w:val="0"/>
    </w:rPr>
  </w:style>
  <w:style w:type="paragraph" w:styleId="Bibliography">
    <w:name w:val="Bibliography"/>
    <w:basedOn w:val="Normal"/>
    <w:next w:val="Normal"/>
    <w:uiPriority w:val="37"/>
    <w:unhideWhenUsed/>
    <w:rsid w:val="00F67F5D"/>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Michelle Andary</dc:creator>
  <keywords/>
  <dc:description/>
  <lastModifiedBy>Michelle Andary</lastModifiedBy>
  <revision>3</revision>
  <dcterms:created xsi:type="dcterms:W3CDTF">2026-09-02T01:55:00.0000000Z</dcterms:created>
  <dcterms:modified xsi:type="dcterms:W3CDTF">2026-09-08T15:54:52.3300228Z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id="1rfUeH0D"/&gt;&lt;style id="http://www.zotero.org/styles/apa" locale="en-US"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