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3B50" w14:textId="77777777" w:rsidR="007B6B6C" w:rsidRDefault="007B6B6C" w:rsidP="002F4983">
      <w:pPr>
        <w:jc w:val="center"/>
      </w:pPr>
    </w:p>
    <w:p w14:paraId="1A81CC5E" w14:textId="77777777" w:rsidR="002F4983" w:rsidRDefault="002F4983" w:rsidP="002F4983">
      <w:pPr>
        <w:jc w:val="center"/>
      </w:pPr>
    </w:p>
    <w:p w14:paraId="450CFEDE" w14:textId="77777777" w:rsidR="002F4983" w:rsidRDefault="002F4983" w:rsidP="002F4983">
      <w:pPr>
        <w:jc w:val="center"/>
      </w:pPr>
    </w:p>
    <w:p w14:paraId="225EBFF2" w14:textId="77777777" w:rsidR="002F4983" w:rsidRDefault="002F4983" w:rsidP="002F4983">
      <w:pPr>
        <w:jc w:val="center"/>
      </w:pPr>
    </w:p>
    <w:p w14:paraId="361824E6" w14:textId="77777777" w:rsidR="002F4983" w:rsidRDefault="002F4983" w:rsidP="002F4983">
      <w:pPr>
        <w:jc w:val="center"/>
      </w:pPr>
    </w:p>
    <w:p w14:paraId="28424C38" w14:textId="77777777" w:rsidR="002F4983" w:rsidRDefault="002F4983" w:rsidP="002F4983">
      <w:pPr>
        <w:jc w:val="center"/>
      </w:pPr>
    </w:p>
    <w:p w14:paraId="595483D3" w14:textId="77777777" w:rsidR="002F4983" w:rsidRDefault="002F4983" w:rsidP="002F4983">
      <w:pPr>
        <w:jc w:val="center"/>
      </w:pPr>
    </w:p>
    <w:p w14:paraId="5C062577" w14:textId="77777777" w:rsidR="002F4983" w:rsidRDefault="002F4983" w:rsidP="002F4983">
      <w:pPr>
        <w:jc w:val="center"/>
      </w:pPr>
    </w:p>
    <w:p w14:paraId="07863D2F" w14:textId="77777777" w:rsidR="007075CF" w:rsidRDefault="007075CF" w:rsidP="002F4983">
      <w:pPr>
        <w:jc w:val="center"/>
        <w:rPr>
          <w:b/>
          <w:bCs/>
          <w:sz w:val="44"/>
          <w:szCs w:val="44"/>
        </w:rPr>
      </w:pPr>
    </w:p>
    <w:p w14:paraId="655B649E" w14:textId="77777777" w:rsidR="007075CF" w:rsidRDefault="007075CF" w:rsidP="002F4983">
      <w:pPr>
        <w:jc w:val="center"/>
        <w:rPr>
          <w:b/>
          <w:bCs/>
          <w:sz w:val="44"/>
          <w:szCs w:val="44"/>
        </w:rPr>
      </w:pPr>
    </w:p>
    <w:p w14:paraId="2CA8A473" w14:textId="77777777" w:rsidR="007075CF" w:rsidRDefault="007075CF" w:rsidP="002F4983">
      <w:pPr>
        <w:jc w:val="center"/>
        <w:rPr>
          <w:b/>
          <w:bCs/>
          <w:sz w:val="44"/>
          <w:szCs w:val="44"/>
        </w:rPr>
      </w:pPr>
    </w:p>
    <w:p w14:paraId="16CB0FFB" w14:textId="77777777" w:rsidR="007075CF" w:rsidRDefault="007075CF" w:rsidP="002F4983">
      <w:pPr>
        <w:jc w:val="center"/>
        <w:rPr>
          <w:b/>
          <w:bCs/>
          <w:sz w:val="44"/>
          <w:szCs w:val="44"/>
        </w:rPr>
      </w:pPr>
    </w:p>
    <w:p w14:paraId="6BBFDCC4" w14:textId="7469B82A" w:rsidR="002F4983" w:rsidRPr="002F4983" w:rsidRDefault="002F4983" w:rsidP="002F4983">
      <w:pPr>
        <w:jc w:val="center"/>
        <w:rPr>
          <w:b/>
          <w:bCs/>
          <w:sz w:val="44"/>
          <w:szCs w:val="44"/>
        </w:rPr>
      </w:pPr>
      <w:r w:rsidRPr="002F4983">
        <w:rPr>
          <w:b/>
          <w:bCs/>
          <w:sz w:val="44"/>
          <w:szCs w:val="44"/>
        </w:rPr>
        <w:t>A Shot at U</w:t>
      </w:r>
      <w:r w:rsidR="00A947A2">
        <w:rPr>
          <w:b/>
          <w:bCs/>
          <w:sz w:val="44"/>
          <w:szCs w:val="44"/>
        </w:rPr>
        <w:t xml:space="preserve">rinary </w:t>
      </w:r>
      <w:r w:rsidRPr="002F4983">
        <w:rPr>
          <w:b/>
          <w:bCs/>
          <w:sz w:val="44"/>
          <w:szCs w:val="44"/>
        </w:rPr>
        <w:t>T</w:t>
      </w:r>
      <w:r w:rsidR="00A947A2">
        <w:rPr>
          <w:b/>
          <w:bCs/>
          <w:sz w:val="44"/>
          <w:szCs w:val="44"/>
        </w:rPr>
        <w:t xml:space="preserve">ract </w:t>
      </w:r>
      <w:r w:rsidRPr="002F4983">
        <w:rPr>
          <w:b/>
          <w:bCs/>
          <w:sz w:val="44"/>
          <w:szCs w:val="44"/>
        </w:rPr>
        <w:t>I</w:t>
      </w:r>
      <w:r w:rsidR="00A947A2">
        <w:rPr>
          <w:b/>
          <w:bCs/>
          <w:sz w:val="44"/>
          <w:szCs w:val="44"/>
        </w:rPr>
        <w:t>nfection</w:t>
      </w:r>
      <w:r w:rsidRPr="002F4983">
        <w:rPr>
          <w:b/>
          <w:bCs/>
          <w:sz w:val="44"/>
          <w:szCs w:val="44"/>
        </w:rPr>
        <w:t xml:space="preserve"> Prevention</w:t>
      </w:r>
      <w:r>
        <w:rPr>
          <w:b/>
          <w:bCs/>
          <w:sz w:val="44"/>
          <w:szCs w:val="44"/>
        </w:rPr>
        <w:t>:</w:t>
      </w:r>
    </w:p>
    <w:p w14:paraId="0DC85024" w14:textId="6560871B" w:rsidR="002F4983" w:rsidRDefault="002F4983" w:rsidP="002F4983">
      <w:pPr>
        <w:jc w:val="center"/>
        <w:rPr>
          <w:b/>
          <w:bCs/>
          <w:sz w:val="32"/>
          <w:szCs w:val="32"/>
        </w:rPr>
      </w:pPr>
      <w:r w:rsidRPr="002F4983">
        <w:rPr>
          <w:b/>
          <w:bCs/>
          <w:sz w:val="32"/>
          <w:szCs w:val="32"/>
        </w:rPr>
        <w:t>Lessons from Global Use of UTI Vaccines</w:t>
      </w:r>
    </w:p>
    <w:p w14:paraId="61AF248C" w14:textId="77777777" w:rsidR="002F4983" w:rsidRDefault="002F4983" w:rsidP="002F4983">
      <w:pPr>
        <w:jc w:val="center"/>
        <w:rPr>
          <w:b/>
          <w:bCs/>
          <w:sz w:val="32"/>
          <w:szCs w:val="32"/>
        </w:rPr>
      </w:pPr>
    </w:p>
    <w:p w14:paraId="5A51120F" w14:textId="77777777" w:rsidR="002F4983" w:rsidRDefault="002F4983" w:rsidP="002F4983">
      <w:pPr>
        <w:jc w:val="center"/>
        <w:rPr>
          <w:b/>
          <w:bCs/>
          <w:sz w:val="32"/>
          <w:szCs w:val="32"/>
        </w:rPr>
      </w:pPr>
    </w:p>
    <w:p w14:paraId="5E6C28DD" w14:textId="77777777" w:rsidR="002F4983" w:rsidRDefault="002F4983" w:rsidP="002F4983">
      <w:pPr>
        <w:jc w:val="center"/>
        <w:rPr>
          <w:b/>
          <w:bCs/>
          <w:sz w:val="32"/>
          <w:szCs w:val="32"/>
        </w:rPr>
      </w:pPr>
    </w:p>
    <w:p w14:paraId="262FAD73" w14:textId="77777777" w:rsidR="002F4983" w:rsidRDefault="002F4983" w:rsidP="002F4983">
      <w:pPr>
        <w:jc w:val="center"/>
        <w:rPr>
          <w:b/>
          <w:bCs/>
          <w:sz w:val="32"/>
          <w:szCs w:val="32"/>
        </w:rPr>
      </w:pPr>
    </w:p>
    <w:p w14:paraId="28FCA740" w14:textId="77777777" w:rsidR="002F4983" w:rsidRDefault="002F4983" w:rsidP="002F4983">
      <w:pPr>
        <w:jc w:val="center"/>
        <w:rPr>
          <w:b/>
          <w:bCs/>
          <w:sz w:val="32"/>
          <w:szCs w:val="32"/>
        </w:rPr>
      </w:pPr>
    </w:p>
    <w:p w14:paraId="13BEC604" w14:textId="77777777" w:rsidR="002F4983" w:rsidRDefault="002F4983" w:rsidP="002F4983">
      <w:pPr>
        <w:jc w:val="center"/>
        <w:rPr>
          <w:b/>
          <w:bCs/>
          <w:sz w:val="32"/>
          <w:szCs w:val="32"/>
        </w:rPr>
      </w:pPr>
    </w:p>
    <w:p w14:paraId="7CB47D93" w14:textId="77777777" w:rsidR="002F4983" w:rsidRDefault="002F4983" w:rsidP="002F4983">
      <w:pPr>
        <w:jc w:val="center"/>
        <w:rPr>
          <w:b/>
          <w:bCs/>
          <w:sz w:val="32"/>
          <w:szCs w:val="32"/>
        </w:rPr>
      </w:pPr>
    </w:p>
    <w:p w14:paraId="0846C276" w14:textId="77777777" w:rsidR="002F4983" w:rsidRDefault="002F4983" w:rsidP="00193F9B">
      <w:pPr>
        <w:rPr>
          <w:b/>
          <w:bCs/>
          <w:sz w:val="32"/>
          <w:szCs w:val="32"/>
        </w:rPr>
      </w:pPr>
    </w:p>
    <w:p w14:paraId="5AD5241A" w14:textId="77777777" w:rsidR="007075CF" w:rsidRDefault="007075CF" w:rsidP="002F4983">
      <w:pPr>
        <w:jc w:val="center"/>
        <w:rPr>
          <w:b/>
          <w:bCs/>
          <w:sz w:val="28"/>
          <w:szCs w:val="28"/>
        </w:rPr>
      </w:pPr>
    </w:p>
    <w:p w14:paraId="5BAB2EF2" w14:textId="77777777" w:rsidR="007075CF" w:rsidRDefault="007075CF" w:rsidP="002F4983">
      <w:pPr>
        <w:jc w:val="center"/>
        <w:rPr>
          <w:b/>
          <w:bCs/>
          <w:sz w:val="28"/>
          <w:szCs w:val="28"/>
        </w:rPr>
      </w:pPr>
    </w:p>
    <w:p w14:paraId="764FBAE1" w14:textId="77777777" w:rsidR="007075CF" w:rsidRDefault="007075CF" w:rsidP="002F4983">
      <w:pPr>
        <w:jc w:val="center"/>
        <w:rPr>
          <w:b/>
          <w:bCs/>
          <w:sz w:val="28"/>
          <w:szCs w:val="28"/>
        </w:rPr>
      </w:pPr>
    </w:p>
    <w:p w14:paraId="257E2771" w14:textId="77777777" w:rsidR="007075CF" w:rsidRDefault="007075CF" w:rsidP="002F4983">
      <w:pPr>
        <w:jc w:val="center"/>
        <w:rPr>
          <w:b/>
          <w:bCs/>
          <w:sz w:val="28"/>
          <w:szCs w:val="28"/>
        </w:rPr>
      </w:pPr>
    </w:p>
    <w:p w14:paraId="3F7696A8" w14:textId="77777777" w:rsidR="007075CF" w:rsidRDefault="007075CF" w:rsidP="002F4983">
      <w:pPr>
        <w:jc w:val="center"/>
        <w:rPr>
          <w:b/>
          <w:bCs/>
          <w:sz w:val="28"/>
          <w:szCs w:val="28"/>
        </w:rPr>
      </w:pPr>
    </w:p>
    <w:p w14:paraId="052BAEDD" w14:textId="77777777" w:rsidR="007075CF" w:rsidRDefault="007075CF" w:rsidP="004035C4">
      <w:pPr>
        <w:rPr>
          <w:b/>
          <w:bCs/>
          <w:sz w:val="28"/>
          <w:szCs w:val="28"/>
        </w:rPr>
      </w:pPr>
    </w:p>
    <w:p w14:paraId="703067E4" w14:textId="77DFFFD1" w:rsidR="002F4983" w:rsidRDefault="002F4983" w:rsidP="002F4983">
      <w:pPr>
        <w:jc w:val="center"/>
        <w:rPr>
          <w:b/>
          <w:bCs/>
          <w:sz w:val="28"/>
          <w:szCs w:val="28"/>
        </w:rPr>
      </w:pPr>
      <w:r>
        <w:rPr>
          <w:b/>
          <w:bCs/>
          <w:sz w:val="28"/>
          <w:szCs w:val="28"/>
        </w:rPr>
        <w:t>Tarlan Torabi</w:t>
      </w:r>
    </w:p>
    <w:p w14:paraId="2BAD785B" w14:textId="77777777" w:rsidR="004035C4" w:rsidRDefault="004035C4" w:rsidP="002F4983">
      <w:pPr>
        <w:jc w:val="center"/>
        <w:rPr>
          <w:b/>
          <w:bCs/>
          <w:sz w:val="28"/>
          <w:szCs w:val="28"/>
        </w:rPr>
      </w:pPr>
    </w:p>
    <w:p w14:paraId="4981AE78" w14:textId="77777777" w:rsidR="004035C4" w:rsidRDefault="004035C4" w:rsidP="00FF344A">
      <w:pPr>
        <w:jc w:val="center"/>
        <w:rPr>
          <w:b/>
          <w:bCs/>
          <w:sz w:val="28"/>
          <w:szCs w:val="28"/>
        </w:rPr>
      </w:pPr>
      <w:r>
        <w:rPr>
          <w:b/>
          <w:bCs/>
          <w:sz w:val="28"/>
          <w:szCs w:val="28"/>
        </w:rPr>
        <w:t>Master’s Research Project</w:t>
      </w:r>
    </w:p>
    <w:p w14:paraId="432BF6DE" w14:textId="3E1C91DE" w:rsidR="002F4983" w:rsidRDefault="002F4983" w:rsidP="00FF344A">
      <w:pPr>
        <w:jc w:val="center"/>
        <w:rPr>
          <w:b/>
          <w:bCs/>
          <w:sz w:val="28"/>
          <w:szCs w:val="28"/>
        </w:rPr>
      </w:pPr>
      <w:r>
        <w:rPr>
          <w:b/>
          <w:bCs/>
          <w:sz w:val="28"/>
          <w:szCs w:val="28"/>
        </w:rPr>
        <w:t xml:space="preserve">Northwestern University </w:t>
      </w:r>
      <w:r w:rsidR="004035C4">
        <w:rPr>
          <w:b/>
          <w:bCs/>
          <w:sz w:val="28"/>
          <w:szCs w:val="28"/>
        </w:rPr>
        <w:t xml:space="preserve">Feinberg School of Medicine: </w:t>
      </w:r>
      <w:r>
        <w:rPr>
          <w:b/>
          <w:bCs/>
          <w:sz w:val="28"/>
          <w:szCs w:val="28"/>
        </w:rPr>
        <w:t xml:space="preserve">Physician Assistant </w:t>
      </w:r>
      <w:r w:rsidR="004035C4">
        <w:rPr>
          <w:b/>
          <w:bCs/>
          <w:sz w:val="28"/>
          <w:szCs w:val="28"/>
        </w:rPr>
        <w:t xml:space="preserve">(PA) </w:t>
      </w:r>
      <w:r>
        <w:rPr>
          <w:b/>
          <w:bCs/>
          <w:sz w:val="28"/>
          <w:szCs w:val="28"/>
        </w:rPr>
        <w:t>Progra</w:t>
      </w:r>
      <w:r w:rsidR="00FF344A">
        <w:rPr>
          <w:b/>
          <w:bCs/>
          <w:sz w:val="28"/>
          <w:szCs w:val="28"/>
        </w:rPr>
        <w:t>m</w:t>
      </w:r>
    </w:p>
    <w:p w14:paraId="35218B7C" w14:textId="5AF8F053" w:rsidR="004035C4" w:rsidRDefault="004035C4" w:rsidP="00FF344A">
      <w:pPr>
        <w:jc w:val="center"/>
        <w:rPr>
          <w:b/>
          <w:bCs/>
          <w:sz w:val="28"/>
          <w:szCs w:val="28"/>
        </w:rPr>
      </w:pPr>
      <w:r>
        <w:rPr>
          <w:b/>
          <w:bCs/>
          <w:sz w:val="28"/>
          <w:szCs w:val="28"/>
        </w:rPr>
        <w:t>March 31, 2026</w:t>
      </w:r>
    </w:p>
    <w:p w14:paraId="79F9C129" w14:textId="77777777" w:rsidR="004035C4" w:rsidRPr="00FF344A" w:rsidRDefault="004035C4" w:rsidP="00FF344A">
      <w:pPr>
        <w:jc w:val="center"/>
        <w:rPr>
          <w:b/>
          <w:bCs/>
          <w:sz w:val="28"/>
          <w:szCs w:val="28"/>
        </w:rPr>
      </w:pPr>
    </w:p>
    <w:p w14:paraId="3674D2D1" w14:textId="62F0D169" w:rsidR="004035C4" w:rsidRPr="004035C4" w:rsidRDefault="004035C4" w:rsidP="004035C4">
      <w:pPr>
        <w:jc w:val="center"/>
      </w:pPr>
      <w:r>
        <w:t>Research was presented to the PA Program Faculty of Northwestern University Feinberg School of Medicine on Capstone Research Day April 17, 2026</w:t>
      </w:r>
    </w:p>
    <w:p w14:paraId="12E13951" w14:textId="2496562D" w:rsidR="002F4983" w:rsidRDefault="00A947A2" w:rsidP="00A947A2">
      <w:pPr>
        <w:jc w:val="center"/>
        <w:rPr>
          <w:b/>
          <w:bCs/>
        </w:rPr>
      </w:pPr>
      <w:r>
        <w:rPr>
          <w:b/>
          <w:bCs/>
        </w:rPr>
        <w:lastRenderedPageBreak/>
        <w:t>Vaccines for the Prevention of Recurrent Urinary Tract Infections</w:t>
      </w:r>
    </w:p>
    <w:p w14:paraId="09954F4A" w14:textId="3DCF7265" w:rsidR="00A947A2" w:rsidRDefault="00A947A2" w:rsidP="00A947A2">
      <w:pPr>
        <w:rPr>
          <w:b/>
          <w:bCs/>
        </w:rPr>
      </w:pPr>
      <w:r>
        <w:rPr>
          <w:b/>
          <w:bCs/>
        </w:rPr>
        <w:t>ABSTRACT</w:t>
      </w:r>
    </w:p>
    <w:p w14:paraId="5A1171D1" w14:textId="62E11936" w:rsidR="00A947A2" w:rsidRPr="005372AC" w:rsidRDefault="00A947A2" w:rsidP="00A947A2">
      <w:r>
        <w:rPr>
          <w:b/>
          <w:bCs/>
        </w:rPr>
        <w:t>Background:</w:t>
      </w:r>
      <w:r w:rsidR="00905B85">
        <w:rPr>
          <w:b/>
          <w:bCs/>
        </w:rPr>
        <w:t xml:space="preserve"> </w:t>
      </w:r>
      <w:r w:rsidR="00905B85">
        <w:t>Urinary Tract Infections (UTIs) are the second most common infectious disease globally. In the United States, UTIs continue to pose a particular threat to female adult populations, with a lifetime incidence of 50-60% in adult women.</w:t>
      </w:r>
      <w:r w:rsidR="005372AC">
        <w:t xml:space="preserve"> The current primary treatment regimen for UTIs is antibiotic therapy; however, the growing prevalence of antimicrobial resistance, especially among </w:t>
      </w:r>
      <w:r w:rsidR="005372AC">
        <w:rPr>
          <w:i/>
          <w:iCs/>
        </w:rPr>
        <w:t>Escherichia coli</w:t>
      </w:r>
      <w:r w:rsidR="00AD6BF6">
        <w:rPr>
          <w:i/>
          <w:iCs/>
        </w:rPr>
        <w:t xml:space="preserve"> (E. coli)</w:t>
      </w:r>
      <w:r w:rsidR="005372AC">
        <w:rPr>
          <w:i/>
          <w:iCs/>
        </w:rPr>
        <w:t xml:space="preserve"> </w:t>
      </w:r>
      <w:r w:rsidR="005372AC">
        <w:t>strains, is contributing to therapeutic failure and related complications.</w:t>
      </w:r>
      <w:r w:rsidR="009A4AC3">
        <w:t xml:space="preserve"> Considering this growing challenge, the exploration of alternative therapeutic strategies for UTIs, especially vaccine-based interventions, has become increasingly important.</w:t>
      </w:r>
    </w:p>
    <w:p w14:paraId="22B826D2" w14:textId="2CA9CD4C" w:rsidR="00A947A2" w:rsidRPr="009A4AC3" w:rsidRDefault="00A947A2" w:rsidP="00A947A2">
      <w:r>
        <w:rPr>
          <w:b/>
          <w:bCs/>
        </w:rPr>
        <w:t>Objectives:</w:t>
      </w:r>
      <w:r w:rsidR="009A4AC3">
        <w:rPr>
          <w:b/>
          <w:bCs/>
        </w:rPr>
        <w:t xml:space="preserve"> </w:t>
      </w:r>
      <w:r w:rsidR="009A4AC3">
        <w:t xml:space="preserve">To evaluate how </w:t>
      </w:r>
      <w:r w:rsidR="009A4AC3" w:rsidRPr="00302711">
        <w:t>UTI vaccine</w:t>
      </w:r>
      <w:r w:rsidR="000E52EC">
        <w:t>-based immunoprophylaxis</w:t>
      </w:r>
      <w:r w:rsidR="009A4AC3" w:rsidRPr="00302711">
        <w:t>, compared with standard non-vaccine prevention strategies, affect</w:t>
      </w:r>
      <w:r w:rsidR="00DA4F1A">
        <w:t xml:space="preserve">s </w:t>
      </w:r>
      <w:r w:rsidR="009A4AC3" w:rsidRPr="00302711">
        <w:t>UTI recurrence rates, antibiotic use, and healthcare utilization</w:t>
      </w:r>
      <w:r w:rsidR="009A4AC3">
        <w:t xml:space="preserve"> </w:t>
      </w:r>
      <w:r w:rsidR="009A4AC3" w:rsidRPr="00302711">
        <w:t xml:space="preserve">based on international data, and </w:t>
      </w:r>
      <w:r w:rsidR="009A4AC3">
        <w:t xml:space="preserve">to assess the implications for </w:t>
      </w:r>
      <w:r w:rsidR="009A4AC3" w:rsidRPr="00302711">
        <w:t>U.S. clinical practice</w:t>
      </w:r>
      <w:r w:rsidR="009A4AC3">
        <w:t>.</w:t>
      </w:r>
    </w:p>
    <w:p w14:paraId="54423FF6" w14:textId="248DA016" w:rsidR="00A947A2" w:rsidRPr="000E52EC" w:rsidRDefault="00A947A2" w:rsidP="00A947A2">
      <w:r>
        <w:rPr>
          <w:b/>
          <w:bCs/>
        </w:rPr>
        <w:t>Design:</w:t>
      </w:r>
      <w:r w:rsidR="000E52EC">
        <w:rPr>
          <w:b/>
          <w:bCs/>
        </w:rPr>
        <w:t xml:space="preserve"> </w:t>
      </w:r>
      <w:r w:rsidR="00FD720E">
        <w:t>Systematic literature review</w:t>
      </w:r>
    </w:p>
    <w:p w14:paraId="7413120D" w14:textId="01E8C0EB" w:rsidR="00A947A2" w:rsidRPr="000E52EC" w:rsidRDefault="00A947A2" w:rsidP="00A947A2">
      <w:r>
        <w:rPr>
          <w:b/>
          <w:bCs/>
        </w:rPr>
        <w:t>Methods:</w:t>
      </w:r>
      <w:r w:rsidR="000E52EC">
        <w:rPr>
          <w:b/>
          <w:bCs/>
        </w:rPr>
        <w:t xml:space="preserve"> </w:t>
      </w:r>
      <w:r w:rsidR="000E52EC">
        <w:t>The National Library of Medicine PubMed database was search</w:t>
      </w:r>
      <w:r w:rsidR="0084667F">
        <w:t>ed</w:t>
      </w:r>
      <w:r w:rsidR="000E52EC">
        <w:t xml:space="preserve"> using terms</w:t>
      </w:r>
      <w:r w:rsidR="00281FF8">
        <w:t xml:space="preserve"> including</w:t>
      </w:r>
      <w:r w:rsidR="000E52EC">
        <w:t xml:space="preserve"> “</w:t>
      </w:r>
      <w:r w:rsidR="00281FF8">
        <w:t xml:space="preserve">UTI vaccine” and “recurrent UTI treatment.” A variety of exclusion and inclusion criteria were incorporated and ultimately </w:t>
      </w:r>
      <w:r w:rsidR="003428F3">
        <w:t xml:space="preserve">3 </w:t>
      </w:r>
      <w:r w:rsidR="00ED0A4A">
        <w:t>studies were selected. These studies were analyzed for outcomes and validity assessments were conducted.</w:t>
      </w:r>
    </w:p>
    <w:p w14:paraId="73E03987" w14:textId="3ED35874" w:rsidR="00A947A2" w:rsidRPr="00D50BC6" w:rsidRDefault="00A947A2" w:rsidP="000F45D2">
      <w:r>
        <w:rPr>
          <w:b/>
          <w:bCs/>
        </w:rPr>
        <w:t>Results: Study #1:</w:t>
      </w:r>
      <w:r w:rsidR="0042471C">
        <w:rPr>
          <w:b/>
          <w:bCs/>
        </w:rPr>
        <w:t xml:space="preserve"> </w:t>
      </w:r>
      <w:r w:rsidR="0042471C">
        <w:t>up to 9.4-fold increase in antibody titers against all targeted serotypes,</w:t>
      </w:r>
      <w:r w:rsidR="00575E48">
        <w:t xml:space="preserve"> </w:t>
      </w:r>
      <w:r w:rsidR="00D50BC6">
        <w:t xml:space="preserve">significant </w:t>
      </w:r>
      <w:r w:rsidR="00575E48">
        <w:t xml:space="preserve">reduction </w:t>
      </w:r>
      <w:r w:rsidR="007E27F3">
        <w:t xml:space="preserve">in UTIs caused by </w:t>
      </w:r>
      <w:r w:rsidR="007E27F3" w:rsidRPr="007E27F3">
        <w:rPr>
          <w:i/>
          <w:iCs/>
        </w:rPr>
        <w:t>E. coli</w:t>
      </w:r>
      <w:r w:rsidR="007E27F3">
        <w:t xml:space="preserve"> of any serotype </w:t>
      </w:r>
      <w:r w:rsidR="00D659DF">
        <w:t xml:space="preserve">(0.207 vs 0.463 episodes, p = 0.002) </w:t>
      </w:r>
      <w:r w:rsidR="000F45D2">
        <w:rPr>
          <w:b/>
          <w:bCs/>
        </w:rPr>
        <w:t xml:space="preserve">Study #2: </w:t>
      </w:r>
      <w:r w:rsidR="00D50BC6">
        <w:t xml:space="preserve">significant </w:t>
      </w:r>
      <w:r w:rsidR="003E5F9E">
        <w:t xml:space="preserve">reduction in UTIs (3.14 </w:t>
      </w:r>
      <w:r w:rsidR="00272485">
        <w:t xml:space="preserve">vs 0.84 episodes, p &lt; 0.001) </w:t>
      </w:r>
      <w:r w:rsidR="000F45D2">
        <w:rPr>
          <w:b/>
          <w:bCs/>
        </w:rPr>
        <w:t>Study #3:</w:t>
      </w:r>
      <w:r w:rsidR="008B6EDB">
        <w:rPr>
          <w:b/>
          <w:bCs/>
        </w:rPr>
        <w:t xml:space="preserve"> </w:t>
      </w:r>
      <w:r w:rsidR="00D50BC6">
        <w:t>significant reduction in UTIs (</w:t>
      </w:r>
      <w:r w:rsidR="00472D3F">
        <w:t>3.14 vs 1.53 episodes, p &lt; 0.05)</w:t>
      </w:r>
    </w:p>
    <w:p w14:paraId="1F52247A" w14:textId="4BF5686F" w:rsidR="00A947A2" w:rsidRDefault="00A947A2">
      <w:pPr>
        <w:rPr>
          <w:b/>
          <w:bCs/>
        </w:rPr>
      </w:pPr>
      <w:r>
        <w:rPr>
          <w:b/>
          <w:bCs/>
        </w:rPr>
        <w:t>Conclusion:</w:t>
      </w:r>
      <w:r w:rsidR="00EB1C87">
        <w:rPr>
          <w:b/>
          <w:bCs/>
        </w:rPr>
        <w:t xml:space="preserve"> </w:t>
      </w:r>
      <w:r w:rsidR="001708A0">
        <w:t>The current international evidence suggests that UTI vaccine-based immunoprophylaxis demonstrates promising reductions in infection recurrence and reliance on antibiotics.</w:t>
      </w:r>
      <w:r w:rsidR="00687937">
        <w:t xml:space="preserve"> These findings highlight the potential role of vaccine strategies</w:t>
      </w:r>
      <w:r w:rsidR="00E0325E">
        <w:t xml:space="preserve"> in addressing recurrent UTIs while helping to mitigate antimicrobial resistance. Further research and large-scale studies are needed to determine the applicability of these interventions within U.S. clinical practice.</w:t>
      </w:r>
      <w:r>
        <w:rPr>
          <w:b/>
          <w:bCs/>
        </w:rPr>
        <w:br w:type="page"/>
      </w:r>
    </w:p>
    <w:p w14:paraId="306DE592" w14:textId="4905DC8C" w:rsidR="00A947A2" w:rsidRDefault="00A947A2" w:rsidP="00A947A2">
      <w:pPr>
        <w:spacing w:line="480" w:lineRule="auto"/>
        <w:rPr>
          <w:b/>
          <w:bCs/>
        </w:rPr>
      </w:pPr>
      <w:r>
        <w:rPr>
          <w:b/>
          <w:bCs/>
        </w:rPr>
        <w:lastRenderedPageBreak/>
        <w:t>Introduction</w:t>
      </w:r>
    </w:p>
    <w:p w14:paraId="7F402154" w14:textId="1B457D34" w:rsidR="00A8645F" w:rsidRDefault="00A8645F" w:rsidP="00A8645F">
      <w:pPr>
        <w:spacing w:line="480" w:lineRule="auto"/>
        <w:ind w:firstLine="720"/>
      </w:pPr>
      <w:r>
        <w:t>Urinary tract infections (UTIs) are the second most common infectious disease globally. In the United States, UTIs are the most common outpatient infections and pose a particular threat to female adults, with a lifetime incidence of 50-60%.</w:t>
      </w:r>
      <w:r w:rsidRPr="00A8645F">
        <w:rPr>
          <w:vertAlign w:val="superscript"/>
        </w:rPr>
        <w:t>1</w:t>
      </w:r>
      <w:r>
        <w:t xml:space="preserve"> The prevalence of these infections increases with age, with prevalence in women over 65 being approximately 20%, compared to 11% in the overall population.</w:t>
      </w:r>
      <w:r w:rsidRPr="00A8645F">
        <w:rPr>
          <w:vertAlign w:val="superscript"/>
        </w:rPr>
        <w:t>1</w:t>
      </w:r>
      <w:r>
        <w:t xml:space="preserve"> Recurrent UTIs, defined as </w:t>
      </w:r>
      <w:r>
        <w:rPr>
          <w:u w:val="single"/>
        </w:rPr>
        <w:t>&gt;</w:t>
      </w:r>
      <w:r>
        <w:t xml:space="preserve"> 2 acute UTIs within 6 months or at least 3 within </w:t>
      </w:r>
      <w:r w:rsidR="00055C9F">
        <w:t>12 months</w:t>
      </w:r>
      <w:r>
        <w:t>, pose a significant health concern.</w:t>
      </w:r>
      <w:r w:rsidRPr="00A8645F">
        <w:rPr>
          <w:vertAlign w:val="superscript"/>
        </w:rPr>
        <w:t>1</w:t>
      </w:r>
      <w:r>
        <w:t xml:space="preserve"> The burden of recurrent UTIs extend</w:t>
      </w:r>
      <w:r w:rsidR="0084667F">
        <w:t>s</w:t>
      </w:r>
      <w:r>
        <w:t xml:space="preserve"> to both personal and societal aspects. The burden on </w:t>
      </w:r>
      <w:r w:rsidR="0084667F">
        <w:t>a personal level</w:t>
      </w:r>
      <w:r>
        <w:t xml:space="preserve"> involves social and psychological factors. Recurrent UTIs are associated with symptoms of anxiety and depression, which have negative implications on overall quality of life.</w:t>
      </w:r>
      <w:r w:rsidRPr="00A8645F">
        <w:rPr>
          <w:vertAlign w:val="superscript"/>
        </w:rPr>
        <w:t xml:space="preserve"> 1</w:t>
      </w:r>
      <w:r>
        <w:t xml:space="preserve"> The burden on </w:t>
      </w:r>
      <w:r w:rsidR="0084667F">
        <w:t>a societal level</w:t>
      </w:r>
      <w:r>
        <w:t xml:space="preserve"> in</w:t>
      </w:r>
      <w:r w:rsidR="0084667F">
        <w:t>cludes</w:t>
      </w:r>
      <w:r>
        <w:t xml:space="preserve"> the clinical and economic burden</w:t>
      </w:r>
      <w:r w:rsidR="00E259C1">
        <w:t>s</w:t>
      </w:r>
      <w:r>
        <w:t xml:space="preserve"> of the illness. In the United States, consultations for UTIs constitute between 1% to 6% of all medical visits, which equates to approximately 7 million visits and approximately 1.6 billion USD annually.</w:t>
      </w:r>
      <w:r w:rsidRPr="00A8645F">
        <w:rPr>
          <w:vertAlign w:val="superscript"/>
        </w:rPr>
        <w:t xml:space="preserve"> 1</w:t>
      </w:r>
      <w:r>
        <w:t xml:space="preserve"> These costs can be both direct and indirect, from cost of diagnostic studies to work absenteeism, which impacts both the economy and the patient individually.</w:t>
      </w:r>
    </w:p>
    <w:p w14:paraId="031763EB" w14:textId="0E9055F6" w:rsidR="00A8645F" w:rsidRDefault="00A8645F" w:rsidP="00A8645F">
      <w:pPr>
        <w:spacing w:line="480" w:lineRule="auto"/>
        <w:ind w:firstLine="720"/>
      </w:pPr>
      <w:r>
        <w:t>The current primary treatment approach for UTIs involve</w:t>
      </w:r>
      <w:r w:rsidR="0084667F">
        <w:t>s</w:t>
      </w:r>
      <w:r>
        <w:t xml:space="preserve"> antibiotic therapy. The routine antibiotics used include beta-lactams, trimethoprim, nitrofurantoin, and quinolones.</w:t>
      </w:r>
      <w:r w:rsidRPr="00A8645F">
        <w:rPr>
          <w:vertAlign w:val="superscript"/>
        </w:rPr>
        <w:t>2</w:t>
      </w:r>
      <w:r>
        <w:t xml:space="preserve"> The widespread and frequent misuse of these antibiotics has greatly contributed to the increasing rate of antimicrobial resistance. The current preventative approaches for UTIs include personal hygiene optimization, increased fluid intake, and the use of vaginal estrogens, although the proven benefit of these interventions is marginal.</w:t>
      </w:r>
      <w:r w:rsidRPr="00A8645F">
        <w:rPr>
          <w:vertAlign w:val="superscript"/>
        </w:rPr>
        <w:t>3</w:t>
      </w:r>
      <w:r>
        <w:t xml:space="preserve"> Long-term, low-dose prophylactic antibiotics are also used as preventative measure</w:t>
      </w:r>
      <w:r w:rsidR="00E259C1">
        <w:t>s</w:t>
      </w:r>
      <w:r>
        <w:t>, which involve antibiotic selection based on the patient’s culture and sensitivity results.</w:t>
      </w:r>
      <w:r w:rsidR="00E259C1" w:rsidRPr="00E259C1">
        <w:rPr>
          <w:vertAlign w:val="superscript"/>
        </w:rPr>
        <w:t xml:space="preserve"> </w:t>
      </w:r>
      <w:r w:rsidR="00E259C1" w:rsidRPr="00A8645F">
        <w:rPr>
          <w:vertAlign w:val="superscript"/>
        </w:rPr>
        <w:t>3</w:t>
      </w:r>
      <w:r w:rsidR="00E259C1">
        <w:t xml:space="preserve"> </w:t>
      </w:r>
      <w:r>
        <w:t>Limited dat</w:t>
      </w:r>
      <w:r w:rsidR="0084667F">
        <w:t>a are</w:t>
      </w:r>
      <w:r>
        <w:t xml:space="preserve"> available regarding the use of this approach, but </w:t>
      </w:r>
      <w:r>
        <w:lastRenderedPageBreak/>
        <w:t>there are several negative implications that have been recognized. Long-term, low-dose antibiotic prophylaxis requires high patient compliance, is associated with high costs, allergies, and drug interactions.</w:t>
      </w:r>
      <w:r w:rsidRPr="00A8645F">
        <w:rPr>
          <w:vertAlign w:val="superscript"/>
        </w:rPr>
        <w:t xml:space="preserve"> 3</w:t>
      </w:r>
      <w:r>
        <w:t xml:space="preserve"> Yeast and </w:t>
      </w:r>
      <w:r w:rsidR="0084667F">
        <w:t>Clostridioides</w:t>
      </w:r>
      <w:r>
        <w:t xml:space="preserve"> overgrowth in the vaginal and gastrointestinal flora can also occur.</w:t>
      </w:r>
      <w:r w:rsidRPr="00A8645F">
        <w:rPr>
          <w:vertAlign w:val="superscript"/>
        </w:rPr>
        <w:t xml:space="preserve"> 3</w:t>
      </w:r>
      <w:r>
        <w:t xml:space="preserve"> Perhaps of the most concerning implications is that this practice promotes the emergence of more resistant urinary pathogens.</w:t>
      </w:r>
      <w:r w:rsidRPr="00A8645F">
        <w:rPr>
          <w:vertAlign w:val="superscript"/>
        </w:rPr>
        <w:t xml:space="preserve"> 3</w:t>
      </w:r>
      <w:r>
        <w:t xml:space="preserve"> </w:t>
      </w:r>
    </w:p>
    <w:p w14:paraId="2C4177D0" w14:textId="0407D30D" w:rsidR="00A8645F" w:rsidRDefault="00A8645F" w:rsidP="00A8645F">
      <w:pPr>
        <w:spacing w:line="480" w:lineRule="auto"/>
        <w:ind w:firstLine="720"/>
      </w:pPr>
      <w:r>
        <w:t>Antimicrobial resistance has been rapidly emerging as a significant global health concern.</w:t>
      </w:r>
      <w:r w:rsidRPr="00A8645F">
        <w:rPr>
          <w:vertAlign w:val="superscript"/>
        </w:rPr>
        <w:t xml:space="preserve"> </w:t>
      </w:r>
      <w:r>
        <w:rPr>
          <w:vertAlign w:val="superscript"/>
        </w:rPr>
        <w:t>4</w:t>
      </w:r>
      <w:r>
        <w:t xml:space="preserve"> This emergence has been accelerated by antibiotic use, particular</w:t>
      </w:r>
      <w:r w:rsidR="0084667F">
        <w:t>ly</w:t>
      </w:r>
      <w:r>
        <w:t xml:space="preserve"> in the treatment of Gram-negative pathogens</w:t>
      </w:r>
      <w:r w:rsidR="00730D89">
        <w:t>, which are the primary bacteria causing</w:t>
      </w:r>
      <w:r>
        <w:t xml:space="preserve"> UTIs.</w:t>
      </w:r>
      <w:r>
        <w:rPr>
          <w:vertAlign w:val="superscript"/>
        </w:rPr>
        <w:t>4</w:t>
      </w:r>
      <w:r>
        <w:t xml:space="preserve"> To evaluate the burden of increasing drug resistance, a review was </w:t>
      </w:r>
      <w:r w:rsidR="0084667F">
        <w:t xml:space="preserve">commissioned </w:t>
      </w:r>
      <w:r>
        <w:t xml:space="preserve">by the UK </w:t>
      </w:r>
      <w:r w:rsidR="0084667F">
        <w:t>P</w:t>
      </w:r>
      <w:r>
        <w:t xml:space="preserve">rime </w:t>
      </w:r>
      <w:r w:rsidR="0084667F">
        <w:t>M</w:t>
      </w:r>
      <w:r>
        <w:t>inister in 2016 that predicted that in the year 2050, there could be 10 million mortalities from bacterial infections due to antimicrobial resistance pathogens.</w:t>
      </w:r>
      <w:r w:rsidRPr="00A8645F">
        <w:rPr>
          <w:vertAlign w:val="superscript"/>
        </w:rPr>
        <w:t xml:space="preserve"> </w:t>
      </w:r>
      <w:r>
        <w:rPr>
          <w:vertAlign w:val="superscript"/>
        </w:rPr>
        <w:t>4</w:t>
      </w:r>
      <w:r>
        <w:t xml:space="preserve"> Th</w:t>
      </w:r>
      <w:r w:rsidR="00730D89">
        <w:t>e</w:t>
      </w:r>
      <w:r>
        <w:t xml:space="preserve"> urgency of this health concern is further highlighted by the estimated 4.95 million mortalities worldwide in 2019 that were associated with or attributable to antimicrobial resistance.</w:t>
      </w:r>
      <w:r w:rsidRPr="00A8645F">
        <w:rPr>
          <w:vertAlign w:val="superscript"/>
        </w:rPr>
        <w:t xml:space="preserve"> </w:t>
      </w:r>
      <w:r>
        <w:rPr>
          <w:vertAlign w:val="superscript"/>
        </w:rPr>
        <w:t>4</w:t>
      </w:r>
      <w:r>
        <w:t xml:space="preserve"> In light of these statistics, it is crucial to understand the factors that contribute to antimicrobial resistance and establish effective therapeutic strategies for UTIs, especially vaccine-based interventions.</w:t>
      </w:r>
    </w:p>
    <w:p w14:paraId="5DFD1967" w14:textId="257E4A4D" w:rsidR="00A8645F" w:rsidRPr="00EF66FC" w:rsidRDefault="00536631" w:rsidP="00A8645F">
      <w:pPr>
        <w:spacing w:line="480" w:lineRule="auto"/>
        <w:ind w:firstLine="720"/>
      </w:pPr>
      <w:r>
        <w:t xml:space="preserve">Currently, several countries outside of the United States have </w:t>
      </w:r>
      <w:r w:rsidR="00346B19">
        <w:t>evaluated</w:t>
      </w:r>
      <w:r>
        <w:t xml:space="preserve"> vaccine-based therapies for preventing recurrent UTIs in adult females. There are various types of vaccines that have been studied, including oral bacterial lysate</w:t>
      </w:r>
      <w:r w:rsidR="00E259C1">
        <w:t xml:space="preserve"> (Uro-</w:t>
      </w:r>
      <w:proofErr w:type="spellStart"/>
      <w:r w:rsidR="00E259C1">
        <w:t>Vaxom</w:t>
      </w:r>
      <w:proofErr w:type="spellEnd"/>
      <w:r w:rsidR="00E259C1">
        <w:t>)</w:t>
      </w:r>
      <w:r>
        <w:t xml:space="preserve">, sublingual </w:t>
      </w:r>
      <w:proofErr w:type="spellStart"/>
      <w:r>
        <w:t>polybacterial</w:t>
      </w:r>
      <w:proofErr w:type="spellEnd"/>
      <w:r>
        <w:t xml:space="preserve"> vaccines</w:t>
      </w:r>
      <w:r w:rsidR="00E259C1">
        <w:t xml:space="preserve"> (Uromune/MV140)</w:t>
      </w:r>
      <w:r>
        <w:t xml:space="preserve">, and conjugate vaccine targeting </w:t>
      </w:r>
      <w:r>
        <w:rPr>
          <w:i/>
          <w:iCs/>
        </w:rPr>
        <w:t>E. coli</w:t>
      </w:r>
      <w:r w:rsidR="00E259C1">
        <w:rPr>
          <w:i/>
          <w:iCs/>
        </w:rPr>
        <w:t xml:space="preserve"> </w:t>
      </w:r>
      <w:r w:rsidR="00E259C1">
        <w:t>(ExPEC4V)</w:t>
      </w:r>
      <w:r>
        <w:t xml:space="preserve">. </w:t>
      </w:r>
      <w:r w:rsidRPr="00A8645F">
        <w:rPr>
          <w:vertAlign w:val="superscript"/>
        </w:rPr>
        <w:t>3</w:t>
      </w:r>
      <w:r>
        <w:t xml:space="preserve"> None of these vaccines have been approved by the United States Food and Drug Administration. </w:t>
      </w:r>
      <w:r w:rsidR="00EF66FC">
        <w:t xml:space="preserve">To understand the mechanism of these vaccines, it is important to have a foundation of the pathogenesis of UTIs. UTIs are caused by </w:t>
      </w:r>
      <w:proofErr w:type="spellStart"/>
      <w:r w:rsidR="00EF66FC">
        <w:t>uropathogenic</w:t>
      </w:r>
      <w:proofErr w:type="spellEnd"/>
      <w:r w:rsidR="00EF66FC">
        <w:t xml:space="preserve"> bacteria (including </w:t>
      </w:r>
      <w:r w:rsidR="00EF66FC">
        <w:rPr>
          <w:i/>
          <w:iCs/>
        </w:rPr>
        <w:t>E. coli, Klebsiella pneumonia</w:t>
      </w:r>
      <w:r w:rsidR="0084667F">
        <w:rPr>
          <w:i/>
          <w:iCs/>
        </w:rPr>
        <w:t>e</w:t>
      </w:r>
      <w:r w:rsidR="00EF66FC">
        <w:rPr>
          <w:i/>
          <w:iCs/>
        </w:rPr>
        <w:t>,</w:t>
      </w:r>
      <w:r w:rsidR="0084667F">
        <w:rPr>
          <w:i/>
          <w:iCs/>
        </w:rPr>
        <w:t xml:space="preserve"> </w:t>
      </w:r>
      <w:r w:rsidR="0084667F">
        <w:t>and</w:t>
      </w:r>
      <w:r w:rsidR="00EF66FC">
        <w:rPr>
          <w:i/>
          <w:iCs/>
        </w:rPr>
        <w:t xml:space="preserve"> Staphylococcus aureus</w:t>
      </w:r>
      <w:r w:rsidR="00EF66FC">
        <w:t xml:space="preserve">) that undergo a series of coordinated virulence </w:t>
      </w:r>
      <w:r w:rsidR="00EF66FC">
        <w:lastRenderedPageBreak/>
        <w:t>mechanisms.</w:t>
      </w:r>
      <w:r w:rsidR="00EF66FC" w:rsidRPr="00EF66FC">
        <w:rPr>
          <w:vertAlign w:val="superscript"/>
        </w:rPr>
        <w:t xml:space="preserve"> </w:t>
      </w:r>
      <w:r w:rsidR="00EF66FC">
        <w:rPr>
          <w:vertAlign w:val="superscript"/>
        </w:rPr>
        <w:t>5</w:t>
      </w:r>
      <w:r w:rsidR="00EF66FC">
        <w:t xml:space="preserve"> The infection starts when these bacteri</w:t>
      </w:r>
      <w:r w:rsidR="00730D89">
        <w:t>a</w:t>
      </w:r>
      <w:r w:rsidR="00EF66FC">
        <w:t xml:space="preserve"> adhere to and colonize the urothelial lining of the urinary tract.</w:t>
      </w:r>
      <w:r w:rsidR="00EF66FC" w:rsidRPr="00EF66FC">
        <w:rPr>
          <w:vertAlign w:val="superscript"/>
        </w:rPr>
        <w:t xml:space="preserve"> </w:t>
      </w:r>
      <w:r w:rsidR="00EF66FC">
        <w:rPr>
          <w:vertAlign w:val="superscript"/>
        </w:rPr>
        <w:t>5</w:t>
      </w:r>
      <w:r w:rsidR="00EF66FC">
        <w:t xml:space="preserve"> Bacterial adhesions allow for the attachment of these </w:t>
      </w:r>
      <w:r w:rsidR="00346B19">
        <w:t>pathogens</w:t>
      </w:r>
      <w:r w:rsidR="00EF66FC">
        <w:t xml:space="preserve"> to host cells and resist clearance by urinary flow. Following this attachment, some pathogen</w:t>
      </w:r>
      <w:r w:rsidR="00346B19">
        <w:t>s can invade host cells and form intracellular bacterial reservoirs that are protected and allow the bacteria to persist despite immune defenses and antibiotic treatment.</w:t>
      </w:r>
      <w:r w:rsidR="00346B19" w:rsidRPr="00346B19">
        <w:rPr>
          <w:vertAlign w:val="superscript"/>
        </w:rPr>
        <w:t xml:space="preserve"> </w:t>
      </w:r>
      <w:r w:rsidR="00346B19">
        <w:rPr>
          <w:vertAlign w:val="superscript"/>
        </w:rPr>
        <w:t>5</w:t>
      </w:r>
      <w:r w:rsidR="00346B19">
        <w:t xml:space="preserve"> Many pathogens can also form biofilms, which further enhance resistance and contribute to recurrent infections.</w:t>
      </w:r>
      <w:r w:rsidR="00346B19" w:rsidRPr="00346B19">
        <w:rPr>
          <w:vertAlign w:val="superscript"/>
        </w:rPr>
        <w:t xml:space="preserve"> </w:t>
      </w:r>
      <w:r w:rsidR="00346B19">
        <w:rPr>
          <w:vertAlign w:val="superscript"/>
        </w:rPr>
        <w:t>5</w:t>
      </w:r>
      <w:r w:rsidR="00346B19">
        <w:t xml:space="preserve"> If left untreated, the infection can spread to the kidneys and lead to severe complications including pyelonephritis or sepsis.</w:t>
      </w:r>
      <w:r w:rsidR="00346B19" w:rsidRPr="00346B19">
        <w:rPr>
          <w:vertAlign w:val="superscript"/>
        </w:rPr>
        <w:t xml:space="preserve"> </w:t>
      </w:r>
      <w:r w:rsidR="00346B19">
        <w:rPr>
          <w:vertAlign w:val="superscript"/>
        </w:rPr>
        <w:t>5</w:t>
      </w:r>
      <w:r w:rsidR="00346B19">
        <w:t xml:space="preserve"> Vaccine-based immunoprophylaxis aims to enhance the immune system so it is able to recognize and eliminate these pathogens earlier and thus preventing bacterial colonization and reducing the likelihood of recurrent infection.</w:t>
      </w:r>
      <w:r w:rsidR="00346B19" w:rsidRPr="00346B19">
        <w:rPr>
          <w:vertAlign w:val="superscript"/>
        </w:rPr>
        <w:t xml:space="preserve"> </w:t>
      </w:r>
      <w:r w:rsidR="00346B19">
        <w:rPr>
          <w:vertAlign w:val="superscript"/>
        </w:rPr>
        <w:t>5</w:t>
      </w:r>
    </w:p>
    <w:p w14:paraId="7A438B09" w14:textId="77777777" w:rsidR="004D1C9C" w:rsidRDefault="00346B19" w:rsidP="004D1C9C">
      <w:pPr>
        <w:spacing w:line="480" w:lineRule="auto"/>
        <w:ind w:firstLine="720"/>
        <w:rPr>
          <w:b/>
          <w:bCs/>
        </w:rPr>
      </w:pPr>
      <w:r>
        <w:t>The global evidence available</w:t>
      </w:r>
      <w:r w:rsidR="00E259C1">
        <w:t xml:space="preserve"> in the evaluation of UTI vaccines in clinical trials suggests reduced recurrence, reduced antibiotic use, and favorable safety outcomes; however, the data is scattered across different vaccine types, there is limited synthesis of evidence, and there is limited discussion of implications of implementation in United States healthcare. This systematic literature review aims to evaluate how UTI vaccine-based immunoprophylaxis, compared with standard non-vaccine prevention strategies, affects UTI recurrence rates, antibiotic use, and healthcare utilization based on international data, and to assess the implications for United States clinical practice.</w:t>
      </w:r>
    </w:p>
    <w:p w14:paraId="229CC6D9" w14:textId="77777777" w:rsidR="004D1C9C" w:rsidRDefault="004D1C9C" w:rsidP="004D1C9C">
      <w:pPr>
        <w:spacing w:line="480" w:lineRule="auto"/>
        <w:rPr>
          <w:b/>
          <w:bCs/>
        </w:rPr>
      </w:pPr>
    </w:p>
    <w:p w14:paraId="77BA36A5" w14:textId="22E1265F" w:rsidR="00A947A2" w:rsidRDefault="00A947A2" w:rsidP="004D1C9C">
      <w:pPr>
        <w:spacing w:line="480" w:lineRule="auto"/>
        <w:rPr>
          <w:b/>
          <w:bCs/>
        </w:rPr>
      </w:pPr>
      <w:r>
        <w:rPr>
          <w:b/>
          <w:bCs/>
        </w:rPr>
        <w:t>Methods</w:t>
      </w:r>
    </w:p>
    <w:p w14:paraId="2E8C94C4" w14:textId="49CBAE71" w:rsidR="004D1C9C" w:rsidRDefault="004D1C9C" w:rsidP="004D1C9C">
      <w:pPr>
        <w:spacing w:line="480" w:lineRule="auto"/>
      </w:pPr>
      <w:r>
        <w:tab/>
        <w:t xml:space="preserve">A </w:t>
      </w:r>
      <w:r w:rsidR="00DC3FED">
        <w:t xml:space="preserve">literature </w:t>
      </w:r>
      <w:r>
        <w:t xml:space="preserve">search was </w:t>
      </w:r>
      <w:r w:rsidR="00DC3FED">
        <w:t>conducted</w:t>
      </w:r>
      <w:r>
        <w:t xml:space="preserve"> of the National Library of Medicine using PubMed in February of 2026 using the search terms “UTI vaccine” and “recurrent UTI treatment.”</w:t>
      </w:r>
      <w:r w:rsidR="003D6F24">
        <w:t xml:space="preserve"> With this preliminary search, 102 studies were identified. </w:t>
      </w:r>
      <w:r w:rsidR="00DC3FED">
        <w:t xml:space="preserve">Studies were included if they met the following </w:t>
      </w:r>
      <w:r w:rsidR="00DC3FED">
        <w:lastRenderedPageBreak/>
        <w:t xml:space="preserve">criteria: 1) Studies involving adult patients with recurrent UTIs, particularly female patients, as they represent </w:t>
      </w:r>
      <w:proofErr w:type="gramStart"/>
      <w:r w:rsidR="00DC3FED">
        <w:t>the majority of</w:t>
      </w:r>
      <w:proofErr w:type="gramEnd"/>
      <w:r w:rsidR="00DC3FED">
        <w:t xml:space="preserve"> recurrent UTI cases. 2) Studies evaluating UTI vaccine-based immunoprophylaxis with routes including oral, sublingual, or injectable. 3) Studies comparing vaccine therapy to standard non-vaccine prevention st</w:t>
      </w:r>
      <w:r w:rsidR="00E7389D">
        <w:t xml:space="preserve">rategies, including prophylactic antibiotics, placebo, or usual care. 4) Studies reporting UTI recurrence rates, antibiotic utilization, healthcare utilization or infection-related complications, and/or safety or adverse events. 5) </w:t>
      </w:r>
      <w:r w:rsidR="0084667F">
        <w:t>Studies</w:t>
      </w:r>
      <w:r w:rsidR="00E7389D">
        <w:t xml:space="preserve"> designed </w:t>
      </w:r>
      <w:r w:rsidR="0084667F">
        <w:t>as</w:t>
      </w:r>
      <w:r w:rsidR="00E7389D">
        <w:t xml:space="preserve"> randomized controlled trials</w:t>
      </w:r>
      <w:r w:rsidR="0084667F">
        <w:t xml:space="preserve"> or </w:t>
      </w:r>
      <w:r w:rsidR="00E7389D">
        <w:t>prospective</w:t>
      </w:r>
      <w:r w:rsidR="0084667F">
        <w:t>/</w:t>
      </w:r>
      <w:r w:rsidR="00E7389D">
        <w:t>retrospective co</w:t>
      </w:r>
      <w:r w:rsidR="00230A6E">
        <w:t>hort studies 6) Studies published in English and available through PubMed or peer-reviewed journals. Studies were excluded if they met any of the following: 1) Study population not with recurrent UTIs in adult patients, such as trials focused exclusively on acute UTIs, pediatric populations, or animals. 2) Studies that did not evaluate a vaccine-based intervention, such as those focused exclusively on antibiotics, probiotics, or behavioral prevention strategies. 3) Studies lacking clinical outcome data 4) Non-peer-reviewed publications. 5) Studies not available in English.</w:t>
      </w:r>
      <w:r w:rsidR="003D6F24">
        <w:t xml:space="preserve"> These criteria ultimately yielded 3 studies that assessed the role of various vaccines for the treatment of recurrent UTIs. Searches of Google Scholar with similar criteria were also performed but did not yield additional studies.</w:t>
      </w:r>
    </w:p>
    <w:p w14:paraId="02B39C63" w14:textId="77777777" w:rsidR="006066FB" w:rsidRPr="004D1C9C" w:rsidRDefault="006066FB" w:rsidP="004D1C9C">
      <w:pPr>
        <w:spacing w:line="480" w:lineRule="auto"/>
      </w:pPr>
    </w:p>
    <w:p w14:paraId="3274112C" w14:textId="195915C9" w:rsidR="00A947A2" w:rsidRDefault="00A947A2" w:rsidP="00230A6E">
      <w:pPr>
        <w:rPr>
          <w:b/>
          <w:bCs/>
        </w:rPr>
      </w:pPr>
      <w:r>
        <w:rPr>
          <w:b/>
          <w:bCs/>
        </w:rPr>
        <w:t>Results</w:t>
      </w:r>
    </w:p>
    <w:p w14:paraId="20F839A0" w14:textId="348E9D8E" w:rsidR="00A947A2" w:rsidRDefault="00401FA1" w:rsidP="00A947A2">
      <w:pPr>
        <w:spacing w:line="480" w:lineRule="auto"/>
        <w:rPr>
          <w:color w:val="000000"/>
        </w:rPr>
      </w:pPr>
      <w:r>
        <w:rPr>
          <w:b/>
          <w:bCs/>
          <w:u w:val="single"/>
        </w:rPr>
        <w:t>Study #1:</w:t>
      </w:r>
      <w:r w:rsidR="001B703E">
        <w:rPr>
          <w:b/>
          <w:bCs/>
        </w:rPr>
        <w:t xml:space="preserve"> </w:t>
      </w:r>
      <w:r w:rsidR="001B703E" w:rsidRPr="001B703E">
        <w:rPr>
          <w:color w:val="000000"/>
        </w:rPr>
        <w:t>Huttner</w:t>
      </w:r>
      <w:r w:rsidR="001B703E">
        <w:rPr>
          <w:color w:val="000000"/>
        </w:rPr>
        <w:t xml:space="preserve"> et al., 2017</w:t>
      </w:r>
    </w:p>
    <w:p w14:paraId="353D8C72" w14:textId="7192FB46" w:rsidR="001B703E" w:rsidRPr="001B703E" w:rsidRDefault="001B703E" w:rsidP="00A947A2">
      <w:pPr>
        <w:spacing w:line="480" w:lineRule="auto"/>
        <w:rPr>
          <w:b/>
          <w:bCs/>
        </w:rPr>
      </w:pPr>
      <w:r>
        <w:rPr>
          <w:color w:val="000000"/>
        </w:rPr>
        <w:tab/>
        <w:t xml:space="preserve">The study aimed to assess the safety and immunogenicity of ExPEC4V, which is a bioconjugate vaccine that contains the O-antigens of four </w:t>
      </w:r>
      <w:r w:rsidRPr="001B703E">
        <w:rPr>
          <w:i/>
          <w:iCs/>
          <w:color w:val="000000"/>
        </w:rPr>
        <w:t>E. coli</w:t>
      </w:r>
      <w:r>
        <w:rPr>
          <w:color w:val="000000"/>
        </w:rPr>
        <w:t xml:space="preserve"> serotypes (O1A, O2, O6A, and O25B).</w:t>
      </w:r>
      <w:r w:rsidRPr="001B703E">
        <w:rPr>
          <w:color w:val="000000"/>
          <w:vertAlign w:val="superscript"/>
        </w:rPr>
        <w:t>6</w:t>
      </w:r>
    </w:p>
    <w:p w14:paraId="2F3C4576" w14:textId="77777777" w:rsidR="00401FA1" w:rsidRDefault="00401FA1" w:rsidP="00A947A2">
      <w:pPr>
        <w:spacing w:line="480" w:lineRule="auto"/>
        <w:rPr>
          <w:b/>
          <w:bCs/>
        </w:rPr>
      </w:pPr>
      <w:r>
        <w:rPr>
          <w:b/>
          <w:bCs/>
        </w:rPr>
        <w:t xml:space="preserve">Validity assessment: </w:t>
      </w:r>
    </w:p>
    <w:p w14:paraId="0B3CA295" w14:textId="62A09887" w:rsidR="00401FA1" w:rsidRPr="001B703E" w:rsidRDefault="00401FA1" w:rsidP="00A947A2">
      <w:pPr>
        <w:spacing w:line="480" w:lineRule="auto"/>
      </w:pPr>
      <w:r>
        <w:rPr>
          <w:b/>
          <w:bCs/>
          <w:i/>
          <w:iCs/>
        </w:rPr>
        <w:lastRenderedPageBreak/>
        <w:t>Study design:</w:t>
      </w:r>
      <w:r w:rsidR="001B703E">
        <w:rPr>
          <w:b/>
          <w:bCs/>
          <w:i/>
          <w:iCs/>
        </w:rPr>
        <w:t xml:space="preserve"> </w:t>
      </w:r>
      <w:r w:rsidR="001B703E">
        <w:t>This study was a randomized, double-blinded, placebo-controlled multicenter trial in phase 1 of 2</w:t>
      </w:r>
      <w:r w:rsidR="008E6625">
        <w:t xml:space="preserve"> conducted across multiple hospital sites in Switzerland</w:t>
      </w:r>
      <w:r w:rsidR="001B703E">
        <w:t xml:space="preserve">. </w:t>
      </w:r>
      <w:r w:rsidR="002555BE">
        <w:t>It was designed to assess the safety, immunogenicity, and preliminary efficacy of the ExPEC4V vaccine in adult females with a history of recurrent UTIs. Th</w:t>
      </w:r>
      <w:r w:rsidR="00FF5F8C">
        <w:t xml:space="preserve">is vaccine targets extraintestinal </w:t>
      </w:r>
      <w:r w:rsidR="00FF5F8C" w:rsidRPr="00FF5F8C">
        <w:rPr>
          <w:i/>
          <w:iCs/>
        </w:rPr>
        <w:t>E. coli</w:t>
      </w:r>
      <w:r w:rsidR="00FF5F8C">
        <w:t xml:space="preserve"> bacterial strains, which are the most common etiology of UTIs. </w:t>
      </w:r>
      <w:r w:rsidR="001B703E">
        <w:t xml:space="preserve">The </w:t>
      </w:r>
      <w:r w:rsidR="00FB7DBD">
        <w:t>primary purpose of this study was to assess the incidence of adverse events among vaccine and placebo receiving participants throughout the</w:t>
      </w:r>
      <w:r w:rsidR="00AD2C47">
        <w:t xml:space="preserve"> course of the study. The secondary purposes included evaluating immunogenicity and antibody functionality</w:t>
      </w:r>
      <w:r w:rsidR="00B8342C">
        <w:t xml:space="preserve">, as well as the incidence of UTIs caused by </w:t>
      </w:r>
      <w:r w:rsidR="00B8342C" w:rsidRPr="00B8342C">
        <w:rPr>
          <w:i/>
          <w:iCs/>
        </w:rPr>
        <w:t>E. coli</w:t>
      </w:r>
      <w:r w:rsidR="00B8342C">
        <w:t xml:space="preserve"> vaccine serotypes in each group.</w:t>
      </w:r>
      <w:r w:rsidR="00136E7B">
        <w:t xml:space="preserve"> </w:t>
      </w:r>
    </w:p>
    <w:p w14:paraId="7428A2C2" w14:textId="4CDF95DC" w:rsidR="00401FA1" w:rsidRPr="002A4719" w:rsidRDefault="00401FA1" w:rsidP="00A947A2">
      <w:pPr>
        <w:spacing w:line="480" w:lineRule="auto"/>
      </w:pPr>
      <w:r>
        <w:rPr>
          <w:b/>
          <w:bCs/>
          <w:i/>
          <w:iCs/>
        </w:rPr>
        <w:t>Study conduct:</w:t>
      </w:r>
      <w:r w:rsidR="002A4719">
        <w:rPr>
          <w:b/>
          <w:bCs/>
          <w:i/>
          <w:iCs/>
        </w:rPr>
        <w:t xml:space="preserve"> </w:t>
      </w:r>
      <w:r w:rsidR="002A4719">
        <w:t xml:space="preserve">This study </w:t>
      </w:r>
      <w:r w:rsidR="00F33D3F">
        <w:t xml:space="preserve">enrolled a total of 188 </w:t>
      </w:r>
      <w:r w:rsidR="006A649D">
        <w:t>female adults</w:t>
      </w:r>
      <w:r w:rsidR="00C640F8">
        <w:t>, from multiple clinical sites</w:t>
      </w:r>
      <w:r w:rsidR="0084667F">
        <w:t xml:space="preserve"> </w:t>
      </w:r>
      <w:r w:rsidR="001656BE">
        <w:t xml:space="preserve">who had a documented history of </w:t>
      </w:r>
      <w:r w:rsidR="00B8651B">
        <w:t>recurrent</w:t>
      </w:r>
      <w:r w:rsidR="001656BE">
        <w:t xml:space="preserve"> UTIs</w:t>
      </w:r>
      <w:r w:rsidR="00B8651B">
        <w:t xml:space="preserve"> and </w:t>
      </w:r>
      <w:r w:rsidR="0084667F">
        <w:t xml:space="preserve">were followed throughout the </w:t>
      </w:r>
      <w:r w:rsidR="00D273E6">
        <w:t xml:space="preserve">timeframe of the study, from January 20, 2014, to August 27, 2014. 93 of these females </w:t>
      </w:r>
      <w:r w:rsidR="008B4E73">
        <w:t xml:space="preserve">received target-dose ExPEC4V and 95 </w:t>
      </w:r>
      <w:r w:rsidR="005A4D85">
        <w:t>received placebo</w:t>
      </w:r>
      <w:r w:rsidR="00BA7A51">
        <w:t xml:space="preserve">, both injections were </w:t>
      </w:r>
      <w:r w:rsidR="0084667F">
        <w:t xml:space="preserve">administered </w:t>
      </w:r>
      <w:r w:rsidR="00BA7A51">
        <w:t>via intramuscular route</w:t>
      </w:r>
      <w:r w:rsidR="006B1E37">
        <w:t xml:space="preserve">. The follow-up period for this study was approximately 9 months after vaccination, with </w:t>
      </w:r>
      <w:r w:rsidR="0044545C">
        <w:t>multiple evaluations during th</w:t>
      </w:r>
      <w:r w:rsidR="00D32E02">
        <w:t>is</w:t>
      </w:r>
      <w:r w:rsidR="0044545C">
        <w:t xml:space="preserve"> timeframe.</w:t>
      </w:r>
      <w:r w:rsidR="00D32E02">
        <w:t xml:space="preserve"> Immunogenicity and safety were</w:t>
      </w:r>
      <w:r w:rsidR="00611C44">
        <w:t xml:space="preserve"> initially evaluated 30 days after vaccination</w:t>
      </w:r>
      <w:r w:rsidR="00F95F1F">
        <w:t xml:space="preserve"> and antibody persistence, adverse events, and occurrence of recurrent UTIs</w:t>
      </w:r>
      <w:r w:rsidR="00433A57">
        <w:t xml:space="preserve"> was monitored for about 9 months.</w:t>
      </w:r>
    </w:p>
    <w:p w14:paraId="3F757A8A" w14:textId="3148C588" w:rsidR="00401FA1" w:rsidRPr="003A13C5" w:rsidRDefault="00401FA1" w:rsidP="00A947A2">
      <w:pPr>
        <w:spacing w:line="480" w:lineRule="auto"/>
      </w:pPr>
      <w:r>
        <w:rPr>
          <w:b/>
          <w:bCs/>
          <w:i/>
          <w:iCs/>
        </w:rPr>
        <w:t>Study results:</w:t>
      </w:r>
      <w:r w:rsidR="003A13C5">
        <w:rPr>
          <w:b/>
          <w:bCs/>
          <w:i/>
          <w:iCs/>
        </w:rPr>
        <w:t xml:space="preserve"> </w:t>
      </w:r>
      <w:r w:rsidR="00382A6E">
        <w:t xml:space="preserve">Regarding </w:t>
      </w:r>
      <w:r w:rsidR="00994CA3">
        <w:t>safety</w:t>
      </w:r>
      <w:r w:rsidR="003A13C5">
        <w:t>, the ExPEC4V vaccin</w:t>
      </w:r>
      <w:r w:rsidR="00F273F0">
        <w:t>e demonstrated a favorable safety profile</w:t>
      </w:r>
      <w:r w:rsidR="0049314A">
        <w:t>, with no vaccine-related serious adverse events reported.</w:t>
      </w:r>
      <w:r w:rsidR="0032747F">
        <w:t xml:space="preserve"> Within the 93 participants who received the vaccine</w:t>
      </w:r>
      <w:r w:rsidR="00A16A88">
        <w:t xml:space="preserve">, 56 participants (60%) experienced </w:t>
      </w:r>
      <w:r w:rsidR="00132E29">
        <w:t xml:space="preserve">at least </w:t>
      </w:r>
      <w:r w:rsidR="00A16A88">
        <w:t>one adverse event that was considered possibly, probably or certainly related to the injection. Within the 9</w:t>
      </w:r>
      <w:r w:rsidR="00B629C4">
        <w:t>5 participants who received placebo, 47 participants (49%) experience</w:t>
      </w:r>
      <w:r w:rsidR="00CD4906">
        <w:t xml:space="preserve">d </w:t>
      </w:r>
      <w:r w:rsidR="00132E29">
        <w:t xml:space="preserve">at least one of these </w:t>
      </w:r>
      <w:r w:rsidR="00CD4906">
        <w:t>adverse events.</w:t>
      </w:r>
      <w:r w:rsidR="00751D44">
        <w:t xml:space="preserve"> This difference was not statistically significant (p = 0.14), indicating that the observed increase could be due to chance.</w:t>
      </w:r>
      <w:r w:rsidR="00382A6E">
        <w:t xml:space="preserve"> Reg</w:t>
      </w:r>
      <w:r w:rsidR="00994CA3">
        <w:t xml:space="preserve">arding immunogenicity, at day 30 following vaccination, antibody titers </w:t>
      </w:r>
      <w:r w:rsidR="00774813">
        <w:t xml:space="preserve">increased </w:t>
      </w:r>
      <w:r w:rsidR="00774813">
        <w:lastRenderedPageBreak/>
        <w:t>significantly</w:t>
      </w:r>
      <w:r w:rsidR="00774813" w:rsidRPr="00774813">
        <w:t xml:space="preserve"> </w:t>
      </w:r>
      <w:r w:rsidR="00774813">
        <w:t>for all serotypes</w:t>
      </w:r>
      <w:r w:rsidR="00BE1B3A">
        <w:t xml:space="preserve"> compared with baseline: O1A titers increased </w:t>
      </w:r>
      <w:r w:rsidR="00782014">
        <w:t>4.6-fold</w:t>
      </w:r>
      <w:r w:rsidR="00BE1B3A">
        <w:t xml:space="preserve">, O2 titers increased 9.4-fold, O6A titers increased </w:t>
      </w:r>
      <w:r w:rsidR="00782014">
        <w:t>4.9-fold</w:t>
      </w:r>
      <w:r w:rsidR="00BE1B3A">
        <w:t>, O25B titers increased 5.9</w:t>
      </w:r>
      <w:r w:rsidR="00782014">
        <w:t>-</w:t>
      </w:r>
      <w:r w:rsidR="00BE1B3A">
        <w:t>fold (overall p &lt; 0.0001).</w:t>
      </w:r>
      <w:r w:rsidR="00782014">
        <w:t xml:space="preserve"> These antibody levels declined </w:t>
      </w:r>
      <w:r w:rsidR="002C212E">
        <w:t xml:space="preserve">over </w:t>
      </w:r>
      <w:r w:rsidR="006961C3">
        <w:t>time,</w:t>
      </w:r>
      <w:r w:rsidR="002C212E">
        <w:t xml:space="preserve"> but immune responses remained detectable at 270 days.</w:t>
      </w:r>
      <w:r w:rsidR="006961C3">
        <w:t xml:space="preserve"> The functionality of these antibodies was also </w:t>
      </w:r>
      <w:r w:rsidR="00B71F78">
        <w:t>assessed through opsonophagocytic killing assays</w:t>
      </w:r>
      <w:r w:rsidR="00A84EFE">
        <w:t>, which confirmed the antibodies’ ability to promote bacterial clearance.</w:t>
      </w:r>
      <w:r w:rsidR="00A458D7">
        <w:t xml:space="preserve"> Regarding occurrence of recurrent UTIs, there was no reduction in the incidence of UTIs with</w:t>
      </w:r>
      <w:r w:rsidR="00FF534F">
        <w:t xml:space="preserve"> </w:t>
      </w:r>
      <w:r w:rsidR="00FF534F" w:rsidRPr="00FF534F">
        <w:rPr>
          <w:u w:val="single"/>
        </w:rPr>
        <w:t>&gt;</w:t>
      </w:r>
      <w:r w:rsidR="00A458D7">
        <w:t xml:space="preserve"> 10</w:t>
      </w:r>
      <w:r w:rsidR="00A458D7" w:rsidRPr="00CF1C1B">
        <w:rPr>
          <w:vertAlign w:val="superscript"/>
        </w:rPr>
        <w:t>3</w:t>
      </w:r>
      <w:r w:rsidR="00A458D7">
        <w:t xml:space="preserve"> colony-forming units per mL of vaccine-serotype </w:t>
      </w:r>
      <w:r w:rsidR="00A458D7" w:rsidRPr="00CF1C1B">
        <w:rPr>
          <w:i/>
          <w:iCs/>
        </w:rPr>
        <w:t>E. coli</w:t>
      </w:r>
      <w:r w:rsidR="00CF1C1B">
        <w:t xml:space="preserve"> was identified in the vaccine group compared to the placebo group.</w:t>
      </w:r>
      <w:r w:rsidR="00F53839">
        <w:t xml:space="preserve"> The mean number of infections was 0.149 mean episodes </w:t>
      </w:r>
      <w:r w:rsidR="009B1216">
        <w:t>in the vaccine group compared with 0</w:t>
      </w:r>
      <w:r w:rsidR="00D22A05">
        <w:t>.146 mean episodes in the placebo group (p = 0.522).</w:t>
      </w:r>
      <w:r w:rsidR="004470F8">
        <w:t xml:space="preserve"> In post-hoc analyses that examined infections with higher bacterial counts of </w:t>
      </w:r>
      <w:r w:rsidR="004470F8" w:rsidRPr="00AF1D59">
        <w:rPr>
          <w:u w:val="single"/>
        </w:rPr>
        <w:t>&gt;</w:t>
      </w:r>
      <w:r w:rsidR="004470F8">
        <w:t>10</w:t>
      </w:r>
      <w:r w:rsidR="004470F8" w:rsidRPr="00AF1D59">
        <w:rPr>
          <w:vertAlign w:val="superscript"/>
        </w:rPr>
        <w:t>5</w:t>
      </w:r>
      <w:r w:rsidR="004470F8">
        <w:t xml:space="preserve"> colony-forming units per mL</w:t>
      </w:r>
      <w:r w:rsidR="00AF1D59">
        <w:t>, t</w:t>
      </w:r>
      <w:r w:rsidR="002D3941">
        <w:t>he reduction in the incidence of UTIs was also not statistically significant, with 0.046 mean episodes in the vaccine group</w:t>
      </w:r>
      <w:r w:rsidR="00264671">
        <w:t xml:space="preserve"> compared with 0.110 mean episodes in the placebo group (p = 0.074).</w:t>
      </w:r>
      <w:r w:rsidR="001066C3">
        <w:t xml:space="preserve"> However, there was a significant </w:t>
      </w:r>
      <w:r w:rsidR="000205C5">
        <w:t xml:space="preserve">reduction </w:t>
      </w:r>
      <w:r w:rsidR="00553C62">
        <w:t xml:space="preserve">in UTIs caused by </w:t>
      </w:r>
      <w:r w:rsidR="00553C62" w:rsidRPr="00BE20CB">
        <w:rPr>
          <w:i/>
          <w:iCs/>
        </w:rPr>
        <w:t>E. coli</w:t>
      </w:r>
      <w:r w:rsidR="00553C62">
        <w:t xml:space="preserve"> of any serotype</w:t>
      </w:r>
      <w:r w:rsidR="00BE20CB">
        <w:t>,</w:t>
      </w:r>
      <w:r w:rsidR="00596078">
        <w:t xml:space="preserve"> with 0.207 mean episodes in the vaccine group compared with </w:t>
      </w:r>
      <w:r w:rsidR="002A095B">
        <w:t xml:space="preserve">0.463 mean episodes </w:t>
      </w:r>
      <w:r w:rsidR="00E47157">
        <w:t>in the placebo group (p = 0.002).</w:t>
      </w:r>
      <w:r w:rsidR="00F440CB">
        <w:t xml:space="preserve"> </w:t>
      </w:r>
      <w:r w:rsidR="00916CE8">
        <w:t>This</w:t>
      </w:r>
      <w:r w:rsidR="00F17FF6">
        <w:t xml:space="preserve"> stat</w:t>
      </w:r>
      <w:r w:rsidR="00E50FDC">
        <w:t>istically significant result</w:t>
      </w:r>
      <w:r w:rsidR="00916CE8">
        <w:t xml:space="preserve"> corresponds to an </w:t>
      </w:r>
      <w:r w:rsidR="0083574D">
        <w:t xml:space="preserve">NNT of approximately 4 to prevent one recurrent </w:t>
      </w:r>
      <w:r w:rsidR="008C5DA0">
        <w:t>UTI.</w:t>
      </w:r>
    </w:p>
    <w:p w14:paraId="6B0EB0AE" w14:textId="18ED73B6" w:rsidR="00401FA1" w:rsidRPr="001C365B" w:rsidRDefault="00401FA1" w:rsidP="00A947A2">
      <w:pPr>
        <w:spacing w:line="480" w:lineRule="auto"/>
      </w:pPr>
      <w:r>
        <w:rPr>
          <w:b/>
          <w:bCs/>
        </w:rPr>
        <w:t>Study conclusions:</w:t>
      </w:r>
      <w:r w:rsidR="001C365B">
        <w:rPr>
          <w:i/>
          <w:iCs/>
        </w:rPr>
        <w:t xml:space="preserve"> </w:t>
      </w:r>
      <w:r w:rsidR="001C365B">
        <w:t>This study concluded that the E</w:t>
      </w:r>
      <w:r w:rsidR="007A3F16">
        <w:t xml:space="preserve">xPEC4V vaccine demonstrated </w:t>
      </w:r>
      <w:r w:rsidR="00751D44">
        <w:t xml:space="preserve">a modest increase in adverse events and showed some improvement in </w:t>
      </w:r>
      <w:r w:rsidR="007A3F16">
        <w:t>immunogenicity profiles in adult females with recurrent UTIs. The vaccine</w:t>
      </w:r>
      <w:r w:rsidR="00C42073">
        <w:t xml:space="preserve"> </w:t>
      </w:r>
      <w:r w:rsidR="008162B6">
        <w:t xml:space="preserve">elicited functional antibody response against all </w:t>
      </w:r>
      <w:r w:rsidR="00B86A7B">
        <w:t xml:space="preserve">targeted </w:t>
      </w:r>
      <w:r w:rsidR="00B86A7B" w:rsidRPr="00B86A7B">
        <w:rPr>
          <w:i/>
          <w:iCs/>
        </w:rPr>
        <w:t>E. coli</w:t>
      </w:r>
      <w:r w:rsidR="00B86A7B">
        <w:t xml:space="preserve"> </w:t>
      </w:r>
      <w:r w:rsidR="00E50FDC">
        <w:t>serotypes and</w:t>
      </w:r>
      <w:r w:rsidR="00B86A7B">
        <w:t xml:space="preserve"> was </w:t>
      </w:r>
      <w:r w:rsidR="00764F1B">
        <w:t xml:space="preserve">overall </w:t>
      </w:r>
      <w:r w:rsidR="00B86A7B">
        <w:t>well tolerated by participants</w:t>
      </w:r>
      <w:r w:rsidR="00630EBE">
        <w:t>, with a statistically insignificant increase in adverse events reported in vaccine receiving participants</w:t>
      </w:r>
      <w:r w:rsidR="00B86A7B">
        <w:t>.</w:t>
      </w:r>
      <w:r w:rsidR="00764F1B">
        <w:t xml:space="preserve"> </w:t>
      </w:r>
      <w:r w:rsidR="00C531FD">
        <w:t xml:space="preserve">The vaccine did not significantly reduce UTIs caused specifically by vaccine-targeted serotypes, but </w:t>
      </w:r>
      <w:r w:rsidR="00C531FD">
        <w:lastRenderedPageBreak/>
        <w:t>exploratory analyses</w:t>
      </w:r>
      <w:r w:rsidR="00D1545A">
        <w:t xml:space="preserve"> were suggestive of an overall reduction in </w:t>
      </w:r>
      <w:r w:rsidR="00D1545A" w:rsidRPr="00D1545A">
        <w:rPr>
          <w:i/>
          <w:iCs/>
        </w:rPr>
        <w:t>E. coli</w:t>
      </w:r>
      <w:r w:rsidR="00630EBE">
        <w:rPr>
          <w:i/>
          <w:iCs/>
        </w:rPr>
        <w:t xml:space="preserve"> </w:t>
      </w:r>
      <w:r w:rsidR="00630EBE">
        <w:t>of any serotype-</w:t>
      </w:r>
      <w:r w:rsidR="00D1545A">
        <w:t>associated UTIs compared with placebo.</w:t>
      </w:r>
    </w:p>
    <w:p w14:paraId="4DF35757" w14:textId="55533BD8" w:rsidR="00401FA1" w:rsidRPr="003C72DE" w:rsidRDefault="00401FA1" w:rsidP="00A947A2">
      <w:pPr>
        <w:spacing w:line="480" w:lineRule="auto"/>
      </w:pPr>
      <w:r>
        <w:rPr>
          <w:b/>
          <w:bCs/>
        </w:rPr>
        <w:t>Study limitations:</w:t>
      </w:r>
      <w:r w:rsidR="003C72DE">
        <w:rPr>
          <w:b/>
          <w:bCs/>
        </w:rPr>
        <w:t xml:space="preserve"> </w:t>
      </w:r>
      <w:r w:rsidR="009D5F51">
        <w:t>One limitation of this study was th</w:t>
      </w:r>
      <w:r w:rsidR="00EF4E08">
        <w:t>at it was conducted as an early-phase clinical trial</w:t>
      </w:r>
      <w:r w:rsidR="00DB2945">
        <w:t>, which led to a smaller sample size and a primary focus on safety and immunogenicity rather than definitive clinical outcomes</w:t>
      </w:r>
      <w:r w:rsidR="00C70CB8">
        <w:t>, making it inadequate</w:t>
      </w:r>
      <w:r w:rsidR="00904E41">
        <w:t xml:space="preserve"> to </w:t>
      </w:r>
      <w:r w:rsidR="00CB5C34">
        <w:t>detect statistically significant reductions in UTI recurrence.</w:t>
      </w:r>
      <w:r w:rsidR="00F37591">
        <w:t xml:space="preserve"> The follow up period was another limitation of this study as it was relatively short making it inadequate to </w:t>
      </w:r>
      <w:r w:rsidR="001671D3">
        <w:t>evaluate for long-term protective or harmful effects.</w:t>
      </w:r>
      <w:r w:rsidR="00172854">
        <w:t xml:space="preserve"> Lastly, the ExPEC4V vaccine targets multiple ExPEC serotypes</w:t>
      </w:r>
      <w:r w:rsidR="00535A24">
        <w:t>, but UTIs can be caused by multiple other bacterial pathogens, so protection from this vaccination ma</w:t>
      </w:r>
      <w:r w:rsidR="00E93359">
        <w:t>y not extend to other non-target organisms.</w:t>
      </w:r>
      <w:r w:rsidR="00D40857">
        <w:t xml:space="preserve"> Another limitation is</w:t>
      </w:r>
      <w:r w:rsidR="00563941">
        <w:t xml:space="preserve"> related to the NNT, which </w:t>
      </w:r>
      <w:r w:rsidR="009B6088">
        <w:t>i</w:t>
      </w:r>
      <w:r w:rsidR="00563941">
        <w:t xml:space="preserve">s an approximation since this study reports mean </w:t>
      </w:r>
      <w:r w:rsidR="009B6088">
        <w:t>UTI episode counts rather than patient-level recurrent risk.</w:t>
      </w:r>
    </w:p>
    <w:p w14:paraId="75E2F351" w14:textId="77777777" w:rsidR="00B00862" w:rsidRDefault="00B00862" w:rsidP="00230A6E">
      <w:pPr>
        <w:spacing w:line="480" w:lineRule="auto"/>
        <w:rPr>
          <w:b/>
          <w:bCs/>
        </w:rPr>
      </w:pPr>
    </w:p>
    <w:p w14:paraId="33D29CF1" w14:textId="295D2862" w:rsidR="00230A6E" w:rsidRDefault="00230A6E" w:rsidP="00230A6E">
      <w:pPr>
        <w:spacing w:line="480" w:lineRule="auto"/>
        <w:rPr>
          <w:color w:val="000000"/>
        </w:rPr>
      </w:pPr>
      <w:r>
        <w:rPr>
          <w:b/>
          <w:bCs/>
          <w:u w:val="single"/>
        </w:rPr>
        <w:t>Study #2:</w:t>
      </w:r>
      <w:r w:rsidR="006E0E03">
        <w:t xml:space="preserve"> </w:t>
      </w:r>
      <w:r w:rsidR="006E0E03" w:rsidRPr="000D7000">
        <w:rPr>
          <w:color w:val="000000"/>
        </w:rPr>
        <w:t>Lopes</w:t>
      </w:r>
      <w:r w:rsidR="006E0E03">
        <w:rPr>
          <w:color w:val="000000"/>
        </w:rPr>
        <w:t xml:space="preserve"> et al., 2024</w:t>
      </w:r>
    </w:p>
    <w:p w14:paraId="5B13D038" w14:textId="64C0F1FD" w:rsidR="005D39A3" w:rsidRPr="00CD1424" w:rsidRDefault="005D39A3" w:rsidP="00230A6E">
      <w:pPr>
        <w:spacing w:line="480" w:lineRule="auto"/>
      </w:pPr>
      <w:r>
        <w:rPr>
          <w:color w:val="000000"/>
        </w:rPr>
        <w:tab/>
        <w:t xml:space="preserve">The study aimed to </w:t>
      </w:r>
      <w:r w:rsidR="007B670E">
        <w:rPr>
          <w:color w:val="000000"/>
        </w:rPr>
        <w:t xml:space="preserve">assess the effectiveness of treatment with </w:t>
      </w:r>
      <w:r w:rsidR="001502E9" w:rsidRPr="001502E9">
        <w:rPr>
          <w:color w:val="000000"/>
        </w:rPr>
        <w:t>MV140 (Uromune®)</w:t>
      </w:r>
      <w:r w:rsidR="007B670E">
        <w:rPr>
          <w:color w:val="000000"/>
        </w:rPr>
        <w:t xml:space="preserve"> in a population of Portuguese patients presenting with recurrent UTIs</w:t>
      </w:r>
      <w:r w:rsidR="00C1080C">
        <w:rPr>
          <w:color w:val="000000"/>
        </w:rPr>
        <w:t>.</w:t>
      </w:r>
      <w:r w:rsidR="00EA7FD4" w:rsidRPr="00EA7FD4">
        <w:rPr>
          <w:color w:val="000000"/>
          <w:vertAlign w:val="superscript"/>
        </w:rPr>
        <w:t>7</w:t>
      </w:r>
      <w:r w:rsidR="00C1080C">
        <w:rPr>
          <w:color w:val="000000"/>
        </w:rPr>
        <w:t xml:space="preserve"> This vaccine consists of </w:t>
      </w:r>
      <w:r w:rsidR="002C7A9E">
        <w:rPr>
          <w:color w:val="000000"/>
        </w:rPr>
        <w:t xml:space="preserve">whole-cell heat-inactivated bacteria and includes four strains: 25% </w:t>
      </w:r>
      <w:r w:rsidR="002C7A9E" w:rsidRPr="00AD6BF6">
        <w:rPr>
          <w:i/>
          <w:iCs/>
          <w:color w:val="000000"/>
        </w:rPr>
        <w:t>E Coli</w:t>
      </w:r>
      <w:r w:rsidR="00F143EC">
        <w:rPr>
          <w:i/>
          <w:iCs/>
          <w:color w:val="000000"/>
        </w:rPr>
        <w:t xml:space="preserve"> </w:t>
      </w:r>
      <w:r w:rsidR="00F143EC">
        <w:rPr>
          <w:color w:val="000000"/>
        </w:rPr>
        <w:t>(V121)</w:t>
      </w:r>
      <w:r w:rsidR="002C7A9E">
        <w:rPr>
          <w:color w:val="000000"/>
        </w:rPr>
        <w:t>, 25%</w:t>
      </w:r>
      <w:r w:rsidR="00AD6BF6">
        <w:rPr>
          <w:color w:val="000000"/>
        </w:rPr>
        <w:t xml:space="preserve"> </w:t>
      </w:r>
      <w:r w:rsidR="00AD6BF6">
        <w:rPr>
          <w:i/>
          <w:iCs/>
          <w:color w:val="000000"/>
        </w:rPr>
        <w:t>Klebsiella pneumoniae</w:t>
      </w:r>
      <w:r w:rsidR="00F143EC">
        <w:rPr>
          <w:i/>
          <w:iCs/>
          <w:color w:val="000000"/>
        </w:rPr>
        <w:t xml:space="preserve"> </w:t>
      </w:r>
      <w:r w:rsidR="00F143EC">
        <w:rPr>
          <w:color w:val="000000"/>
        </w:rPr>
        <w:t xml:space="preserve">(V113), 25% </w:t>
      </w:r>
      <w:r w:rsidR="00F143EC">
        <w:rPr>
          <w:i/>
          <w:iCs/>
          <w:color w:val="000000"/>
        </w:rPr>
        <w:t xml:space="preserve">Enterococcus faecalis </w:t>
      </w:r>
      <w:r w:rsidR="00F143EC">
        <w:rPr>
          <w:color w:val="000000"/>
        </w:rPr>
        <w:t xml:space="preserve">(V125), and 25% </w:t>
      </w:r>
      <w:r w:rsidR="00F143EC">
        <w:rPr>
          <w:i/>
          <w:iCs/>
          <w:color w:val="000000"/>
        </w:rPr>
        <w:t>Proteus vulgar</w:t>
      </w:r>
      <w:r w:rsidR="00CD1424">
        <w:rPr>
          <w:i/>
          <w:iCs/>
          <w:color w:val="000000"/>
        </w:rPr>
        <w:t xml:space="preserve">is </w:t>
      </w:r>
      <w:r w:rsidR="00CD1424">
        <w:rPr>
          <w:color w:val="000000"/>
        </w:rPr>
        <w:t>(V127)</w:t>
      </w:r>
      <w:r w:rsidR="009C2847">
        <w:rPr>
          <w:color w:val="000000"/>
        </w:rPr>
        <w:t xml:space="preserve"> in a 300 Formazin Turbidity Unit suspension of inactivated whole bacteria.</w:t>
      </w:r>
      <w:r w:rsidR="00717F08">
        <w:rPr>
          <w:color w:val="000000"/>
        </w:rPr>
        <w:t xml:space="preserve"> Collectively, these bacterial strains account for approximately 85% of UTI causing bacteria in Portugal.</w:t>
      </w:r>
      <w:r w:rsidR="00D40766">
        <w:rPr>
          <w:color w:val="000000"/>
        </w:rPr>
        <w:t xml:space="preserve"> MV140 is a sublingual spray</w:t>
      </w:r>
      <w:r w:rsidR="00C86869">
        <w:rPr>
          <w:color w:val="000000"/>
        </w:rPr>
        <w:t xml:space="preserve"> that is delivered </w:t>
      </w:r>
      <w:r w:rsidR="00490523">
        <w:rPr>
          <w:color w:val="000000"/>
        </w:rPr>
        <w:t xml:space="preserve">by 2 sprays </w:t>
      </w:r>
      <w:r w:rsidR="008F1A97">
        <w:rPr>
          <w:color w:val="000000"/>
        </w:rPr>
        <w:t xml:space="preserve">once </w:t>
      </w:r>
      <w:r w:rsidR="00C86869">
        <w:rPr>
          <w:color w:val="000000"/>
        </w:rPr>
        <w:t>daily for 3 months</w:t>
      </w:r>
      <w:r w:rsidR="00490523">
        <w:rPr>
          <w:color w:val="000000"/>
        </w:rPr>
        <w:t>.</w:t>
      </w:r>
    </w:p>
    <w:p w14:paraId="31DB8B44" w14:textId="77777777" w:rsidR="00230A6E" w:rsidRDefault="00230A6E" w:rsidP="00230A6E">
      <w:pPr>
        <w:spacing w:line="480" w:lineRule="auto"/>
        <w:rPr>
          <w:b/>
          <w:bCs/>
        </w:rPr>
      </w:pPr>
      <w:r>
        <w:rPr>
          <w:b/>
          <w:bCs/>
        </w:rPr>
        <w:t xml:space="preserve">Validity assessment: </w:t>
      </w:r>
    </w:p>
    <w:p w14:paraId="4E7A6EA4" w14:textId="12A6F7E7" w:rsidR="00230A6E" w:rsidRPr="00065DAC" w:rsidRDefault="00230A6E" w:rsidP="00230A6E">
      <w:pPr>
        <w:spacing w:line="480" w:lineRule="auto"/>
      </w:pPr>
      <w:r>
        <w:rPr>
          <w:b/>
          <w:bCs/>
          <w:i/>
          <w:iCs/>
        </w:rPr>
        <w:lastRenderedPageBreak/>
        <w:t>Study design:</w:t>
      </w:r>
      <w:r w:rsidR="00065DAC">
        <w:rPr>
          <w:b/>
          <w:bCs/>
          <w:i/>
          <w:iCs/>
        </w:rPr>
        <w:t xml:space="preserve"> </w:t>
      </w:r>
      <w:r w:rsidR="009F3A69">
        <w:t xml:space="preserve">This study </w:t>
      </w:r>
      <w:r w:rsidR="00C05934">
        <w:t xml:space="preserve">was a prospective observational </w:t>
      </w:r>
      <w:r w:rsidR="00630EBE">
        <w:t>clinical practice type</w:t>
      </w:r>
      <w:r w:rsidR="00470588">
        <w:t xml:space="preserve"> study</w:t>
      </w:r>
      <w:r w:rsidR="006B7F45">
        <w:t>. The prim</w:t>
      </w:r>
      <w:r w:rsidR="005328B2">
        <w:t>ary objective of this study was to assess the effectiveness of MV140 in preventing UTIs</w:t>
      </w:r>
      <w:r w:rsidR="00E94F5D">
        <w:t xml:space="preserve"> in the Portuguese population. Secondary objectives involved </w:t>
      </w:r>
      <w:r w:rsidR="001F6366">
        <w:t>assessing if any sub-group of patients</w:t>
      </w:r>
      <w:r w:rsidR="00A81CDA">
        <w:t xml:space="preserve"> (e.g.,</w:t>
      </w:r>
      <w:r w:rsidR="000F5338">
        <w:t xml:space="preserve"> sex, BMI, regular sexual activity, </w:t>
      </w:r>
      <w:r w:rsidR="00DE39DB">
        <w:t>medical history,</w:t>
      </w:r>
      <w:r w:rsidR="000F5338">
        <w:t xml:space="preserve"> menopausal status, etc</w:t>
      </w:r>
      <w:r w:rsidR="00DE39DB">
        <w:t xml:space="preserve">.) </w:t>
      </w:r>
      <w:r w:rsidR="001F6366">
        <w:t>responded differently to the vaccination</w:t>
      </w:r>
      <w:r w:rsidR="00B74100">
        <w:t>, evaluating for any reported side effects, and the global satisfaction with the treatment.</w:t>
      </w:r>
    </w:p>
    <w:p w14:paraId="49F37998" w14:textId="0E014D42" w:rsidR="00230A6E" w:rsidRPr="009A522F" w:rsidRDefault="00230A6E" w:rsidP="00230A6E">
      <w:pPr>
        <w:spacing w:line="480" w:lineRule="auto"/>
      </w:pPr>
      <w:r>
        <w:rPr>
          <w:b/>
          <w:bCs/>
          <w:i/>
          <w:iCs/>
        </w:rPr>
        <w:t>Study conduct:</w:t>
      </w:r>
      <w:r w:rsidR="009A522F">
        <w:rPr>
          <w:b/>
          <w:bCs/>
          <w:i/>
          <w:iCs/>
        </w:rPr>
        <w:t xml:space="preserve"> </w:t>
      </w:r>
      <w:r w:rsidR="00195C0B">
        <w:t>A total of 125 consecutive patients were recruite</w:t>
      </w:r>
      <w:r w:rsidR="009675B9">
        <w:t xml:space="preserve">d who had received </w:t>
      </w:r>
      <w:r w:rsidR="00F7766B">
        <w:t>the vaccination from two centers in Portugal. Inclusion criteria for the study included</w:t>
      </w:r>
      <w:r w:rsidR="00CD5054">
        <w:t>: age over 18, at least 3 positive urin</w:t>
      </w:r>
      <w:r w:rsidR="00D84FF7">
        <w:t xml:space="preserve">e culture UTIs in the preceding 12 months, and the ability to understand and sign the consent forms. </w:t>
      </w:r>
      <w:r w:rsidR="00456706">
        <w:t>Exclusion criteria for the study included:</w:t>
      </w:r>
      <w:r w:rsidR="00552AF5">
        <w:t xml:space="preserve"> history of genitourinary tumors, urinary lithiasis, immunodeficiency, pregnancy, and current use of other immunoactive prophylaxis or preventative antibiotics.</w:t>
      </w:r>
      <w:r w:rsidR="005C45BC">
        <w:t xml:space="preserve"> </w:t>
      </w:r>
      <w:r w:rsidR="00A032EA">
        <w:t>Ultimately</w:t>
      </w:r>
      <w:r w:rsidR="00823FA0">
        <w:t xml:space="preserve">, the final study </w:t>
      </w:r>
      <w:r w:rsidR="001370D9">
        <w:t xml:space="preserve">population was comprised of 108 patients, 84 women and 24 men, </w:t>
      </w:r>
      <w:r w:rsidR="00D26383">
        <w:t xml:space="preserve">with a mean age of </w:t>
      </w:r>
      <w:r w:rsidR="00D26383" w:rsidRPr="00D26383">
        <w:t>54.9 ± 17.8 (22–88) years</w:t>
      </w:r>
      <w:r w:rsidR="00D26383">
        <w:t xml:space="preserve"> </w:t>
      </w:r>
      <w:r w:rsidR="00727526">
        <w:t>when first receiving treatment.</w:t>
      </w:r>
      <w:r w:rsidR="00E14739">
        <w:t xml:space="preserve"> </w:t>
      </w:r>
      <w:r w:rsidR="005C45BC">
        <w:t xml:space="preserve">The follow-up period involved a clinical history data questionnaire at baseline before starting treatment, followed by a second assessment at 12 months post-treatment </w:t>
      </w:r>
      <w:r w:rsidR="00D37FBF">
        <w:t>which was conducted via phone to assess effectiveness</w:t>
      </w:r>
      <w:r w:rsidR="00AE2562">
        <w:t>, report on any side effects, and rate overall satisfaction on a 1-10 scale.</w:t>
      </w:r>
    </w:p>
    <w:p w14:paraId="1C8CAB44" w14:textId="56A65A6A" w:rsidR="00230A6E" w:rsidRPr="006E6A5B" w:rsidRDefault="00230A6E" w:rsidP="00230A6E">
      <w:pPr>
        <w:spacing w:line="480" w:lineRule="auto"/>
      </w:pPr>
      <w:r>
        <w:rPr>
          <w:b/>
          <w:bCs/>
          <w:i/>
          <w:iCs/>
        </w:rPr>
        <w:t>Study results:</w:t>
      </w:r>
      <w:r w:rsidR="00954B6C">
        <w:rPr>
          <w:b/>
          <w:bCs/>
          <w:i/>
          <w:iCs/>
        </w:rPr>
        <w:t xml:space="preserve"> </w:t>
      </w:r>
      <w:r w:rsidR="00571710">
        <w:t xml:space="preserve">In the 12 months following treatment with </w:t>
      </w:r>
      <w:r w:rsidR="00B61234">
        <w:t xml:space="preserve">the </w:t>
      </w:r>
      <w:r w:rsidR="00571710">
        <w:t xml:space="preserve">MV140 vaccine, </w:t>
      </w:r>
      <w:r w:rsidR="00E60B08">
        <w:t>41 patients were UTI-free</w:t>
      </w:r>
      <w:r w:rsidR="000D7924">
        <w:t xml:space="preserve"> </w:t>
      </w:r>
      <w:r w:rsidR="00750EF6">
        <w:t xml:space="preserve">(38%), 36 patients reported one or two UTI episodes (34%), and 31 patients </w:t>
      </w:r>
      <w:r w:rsidR="009A574C">
        <w:t>reported three or more UTIs (28%). Overall, there was a mean reduction of 3.20</w:t>
      </w:r>
      <w:r w:rsidR="00CD4DFE">
        <w:t xml:space="preserve"> UTI episodes per year</w:t>
      </w:r>
      <w:r w:rsidR="006D23EA">
        <w:t xml:space="preserve"> per patient</w:t>
      </w:r>
      <w:r w:rsidR="00345D17">
        <w:t xml:space="preserve"> which correlates to a </w:t>
      </w:r>
      <w:r w:rsidR="00630EBE">
        <w:t xml:space="preserve">relative </w:t>
      </w:r>
      <w:r w:rsidR="00345D17">
        <w:t>reduction of 67.0%</w:t>
      </w:r>
      <w:r w:rsidR="009A574C">
        <w:t xml:space="preserve"> (p &lt; 0.001)</w:t>
      </w:r>
      <w:r w:rsidR="00345D17">
        <w:t xml:space="preserve">. </w:t>
      </w:r>
      <w:r w:rsidR="00B54E7F">
        <w:t>This statistically significant result corresponds to an estimated number needed to treat (NNT) of approximately 3 to prevent one recurrent UTI.</w:t>
      </w:r>
      <w:r w:rsidR="00DA3337">
        <w:t xml:space="preserve"> </w:t>
      </w:r>
      <w:r w:rsidR="00A246E4">
        <w:t xml:space="preserve">Regarding the difference in reduction of UTI episodes between </w:t>
      </w:r>
      <w:r w:rsidR="00A246E4">
        <w:lastRenderedPageBreak/>
        <w:t>women and men</w:t>
      </w:r>
      <w:r w:rsidR="00395779">
        <w:t>, there was no statistical difference</w:t>
      </w:r>
      <w:r w:rsidR="00E70DA7">
        <w:t>s, with a 66</w:t>
      </w:r>
      <w:r w:rsidR="0057190A">
        <w:t>.2%</w:t>
      </w:r>
      <w:r w:rsidR="00F53F4F">
        <w:t xml:space="preserve"> reduction in women and a 73.2%</w:t>
      </w:r>
      <w:r w:rsidR="00223442">
        <w:t xml:space="preserve"> reduction in men (p = 0.129).</w:t>
      </w:r>
      <w:r w:rsidR="00AF3A75">
        <w:t xml:space="preserve"> Regarding age, </w:t>
      </w:r>
      <w:r w:rsidR="00F5248A">
        <w:t xml:space="preserve">there was a </w:t>
      </w:r>
      <w:r w:rsidR="000D3134">
        <w:t xml:space="preserve">greater reduction in </w:t>
      </w:r>
      <w:r w:rsidR="002D735D">
        <w:t xml:space="preserve">UTIs </w:t>
      </w:r>
      <w:r w:rsidR="006F3DA4">
        <w:t xml:space="preserve">in </w:t>
      </w:r>
      <w:r w:rsidR="000D3134">
        <w:t xml:space="preserve">older women </w:t>
      </w:r>
      <w:r w:rsidR="00454065" w:rsidRPr="00454065">
        <w:t>(r</w:t>
      </w:r>
      <w:r w:rsidR="00454065" w:rsidRPr="00630EBE">
        <w:rPr>
          <w:vertAlign w:val="superscript"/>
        </w:rPr>
        <w:t>2</w:t>
      </w:r>
      <w:r w:rsidR="00454065" w:rsidRPr="00454065">
        <w:t xml:space="preserve"> = 0.071, p = 0.014) but not </w:t>
      </w:r>
      <w:r w:rsidR="00BA5CF0">
        <w:t>in older</w:t>
      </w:r>
      <w:r w:rsidR="00454065" w:rsidRPr="00454065">
        <w:t xml:space="preserve"> men (r</w:t>
      </w:r>
      <w:r w:rsidR="00454065" w:rsidRPr="00630EBE">
        <w:rPr>
          <w:vertAlign w:val="superscript"/>
        </w:rPr>
        <w:t>2</w:t>
      </w:r>
      <w:r w:rsidR="00454065" w:rsidRPr="00454065">
        <w:t xml:space="preserve"> = 0.002, p = 0.852)</w:t>
      </w:r>
      <w:r w:rsidR="00BA5CF0">
        <w:t xml:space="preserve">. Regarding </w:t>
      </w:r>
      <w:r w:rsidR="00CA36C4">
        <w:t>patient features that impact UTI reduction with MV140</w:t>
      </w:r>
      <w:r w:rsidR="00143F32">
        <w:t>, there</w:t>
      </w:r>
      <w:r w:rsidR="008549F5">
        <w:t xml:space="preserve"> was no statically </w:t>
      </w:r>
      <w:r w:rsidR="00860FD5">
        <w:t>significan</w:t>
      </w:r>
      <w:r w:rsidR="00FA23EC">
        <w:t>t changes in BMI, smoking habits, sexual activity, hyp</w:t>
      </w:r>
      <w:r w:rsidR="00AA59B1">
        <w:t xml:space="preserve">ertension, diabetes, pelvic surgery history, depression, paraplegia, indwelling bladder catheter, </w:t>
      </w:r>
      <w:r w:rsidR="00C04883">
        <w:t>intermittent self-catheter, or prior UTI prevention vaccination.</w:t>
      </w:r>
      <w:r w:rsidR="000C380D">
        <w:t xml:space="preserve"> Within the female group, there was a statistically significant difference between pre- and post-menopausal women, </w:t>
      </w:r>
      <w:r w:rsidR="008A1443">
        <w:t xml:space="preserve">with pre-menopausal </w:t>
      </w:r>
      <w:r w:rsidR="00123C2B">
        <w:t xml:space="preserve">women experiencing a 59.4% </w:t>
      </w:r>
      <w:r w:rsidR="00757001">
        <w:t xml:space="preserve">relative </w:t>
      </w:r>
      <w:r w:rsidR="00123C2B">
        <w:t>reduction in UTI episodes and post-menopausal women experie</w:t>
      </w:r>
      <w:r w:rsidR="00906390">
        <w:t xml:space="preserve">ncing a 74.7% </w:t>
      </w:r>
      <w:r w:rsidR="00757001">
        <w:t xml:space="preserve">relative </w:t>
      </w:r>
      <w:r w:rsidR="00906390">
        <w:t>reduction (p = 0.029).</w:t>
      </w:r>
      <w:r w:rsidR="00255966">
        <w:t xml:space="preserve"> </w:t>
      </w:r>
      <w:r w:rsidR="00464BF0">
        <w:t xml:space="preserve">Regarding reduction in UTI symptom severity from the vaccination, </w:t>
      </w:r>
      <w:r w:rsidR="004F48AC">
        <w:t xml:space="preserve">67 patients </w:t>
      </w:r>
      <w:r w:rsidR="00842FBC">
        <w:t>who reported</w:t>
      </w:r>
      <w:r w:rsidR="004F48AC">
        <w:t xml:space="preserve"> UTIs in the year following the start of treatment and of these 49 reported a reduction in severity and/or duration of symptoms (73%).</w:t>
      </w:r>
      <w:r w:rsidR="004D798F">
        <w:t xml:space="preserve"> The other 18 patients felt no difference </w:t>
      </w:r>
      <w:r w:rsidR="002B1907">
        <w:t>(27%</w:t>
      </w:r>
      <w:proofErr w:type="gramStart"/>
      <w:r w:rsidR="002B1907">
        <w:t>)</w:t>
      </w:r>
      <w:proofErr w:type="gramEnd"/>
      <w:r w:rsidR="002B1907">
        <w:t xml:space="preserve"> and no one reported more severe symptoms following treatment. </w:t>
      </w:r>
      <w:r w:rsidR="00255966">
        <w:t xml:space="preserve">Regarding </w:t>
      </w:r>
      <w:r w:rsidR="00142298">
        <w:t>possible side effects</w:t>
      </w:r>
      <w:r w:rsidR="00255966">
        <w:t xml:space="preserve"> from the vaccination, </w:t>
      </w:r>
      <w:r w:rsidR="00723BAD">
        <w:t xml:space="preserve">5 patients reported fatigue (2), nausea (2), and abdominal discomfort (1). All </w:t>
      </w:r>
      <w:r w:rsidR="003A0C85">
        <w:t>adverse events were reported to be mild by the patients, were self-limited, and did not lead to termination of treatment.</w:t>
      </w:r>
      <w:r w:rsidR="00C90285">
        <w:t xml:space="preserve"> Regarding patient satisfaction, </w:t>
      </w:r>
      <w:r w:rsidR="0091409A">
        <w:t xml:space="preserve">from a scale of 1-10 </w:t>
      </w:r>
      <w:r w:rsidR="00C90285">
        <w:t xml:space="preserve">the mean score was </w:t>
      </w:r>
      <w:r w:rsidR="00EA1217" w:rsidRPr="00EA1217">
        <w:t>7.52 ± 1.95</w:t>
      </w:r>
      <w:r w:rsidR="00EA1217">
        <w:t xml:space="preserve">, with 58% of patients rating </w:t>
      </w:r>
      <w:r w:rsidR="0091409A" w:rsidRPr="0091409A">
        <w:t>≥8.</w:t>
      </w:r>
    </w:p>
    <w:p w14:paraId="5B930A85" w14:textId="36CC694F" w:rsidR="00230A6E" w:rsidRPr="006B3E0D" w:rsidRDefault="00230A6E" w:rsidP="00230A6E">
      <w:pPr>
        <w:spacing w:line="480" w:lineRule="auto"/>
      </w:pPr>
      <w:r>
        <w:rPr>
          <w:b/>
          <w:bCs/>
        </w:rPr>
        <w:t>Study conclusions:</w:t>
      </w:r>
      <w:r w:rsidR="006B3E0D">
        <w:rPr>
          <w:b/>
          <w:bCs/>
        </w:rPr>
        <w:t xml:space="preserve"> </w:t>
      </w:r>
      <w:r w:rsidR="006B3E0D">
        <w:t xml:space="preserve">The findings from this study are suggestive that treatment from the sublingual MV140 vaccine is effective in UTI prevention is a </w:t>
      </w:r>
      <w:r w:rsidR="001C154A">
        <w:t xml:space="preserve">population of Portuguese adults with recurrent UTIs. Overall, </w:t>
      </w:r>
      <w:r w:rsidR="00665619">
        <w:t>the majority</w:t>
      </w:r>
      <w:r w:rsidR="001C154A">
        <w:t xml:space="preserve"> of patients reported a reduction in UTI</w:t>
      </w:r>
      <w:r w:rsidR="00122E8A">
        <w:t>s in the year after the vaccination</w:t>
      </w:r>
      <w:r w:rsidR="0076150E">
        <w:t>. Symptom severity also seems to</w:t>
      </w:r>
      <w:r w:rsidR="00CB4516">
        <w:t xml:space="preserve"> b</w:t>
      </w:r>
      <w:r w:rsidR="0076150E">
        <w:t>e reduc</w:t>
      </w:r>
      <w:r w:rsidR="002635B9">
        <w:t>ed b</w:t>
      </w:r>
      <w:r w:rsidR="00CB4516">
        <w:t>y</w:t>
      </w:r>
      <w:r w:rsidR="002635B9">
        <w:t xml:space="preserve"> this therapy</w:t>
      </w:r>
      <w:r w:rsidR="0091409A">
        <w:t xml:space="preserve"> which is </w:t>
      </w:r>
      <w:r w:rsidR="00846DD5">
        <w:t xml:space="preserve">emphasized by the high </w:t>
      </w:r>
      <w:r w:rsidR="00764299">
        <w:t>levels of patient satisfaction.</w:t>
      </w:r>
    </w:p>
    <w:p w14:paraId="330780B6" w14:textId="1AB1DEDE" w:rsidR="00230A6E" w:rsidRPr="00665619" w:rsidRDefault="00230A6E" w:rsidP="00230A6E">
      <w:pPr>
        <w:spacing w:line="480" w:lineRule="auto"/>
      </w:pPr>
      <w:r>
        <w:rPr>
          <w:b/>
          <w:bCs/>
        </w:rPr>
        <w:lastRenderedPageBreak/>
        <w:t>Study limitations:</w:t>
      </w:r>
      <w:r w:rsidR="00665619">
        <w:rPr>
          <w:b/>
          <w:bCs/>
        </w:rPr>
        <w:t xml:space="preserve"> </w:t>
      </w:r>
      <w:r w:rsidR="00AF5E82">
        <w:t>One limitation of this study was that there was no randomized control group</w:t>
      </w:r>
      <w:r w:rsidR="00DA53B7">
        <w:t>, which limits the ability to attribute improvements solely to the MV140 vaccine.</w:t>
      </w:r>
      <w:r w:rsidR="00B72D2D">
        <w:t xml:space="preserve"> The outcome</w:t>
      </w:r>
      <w:r w:rsidR="00AF2F06">
        <w:t>s</w:t>
      </w:r>
      <w:r w:rsidR="00B72D2D">
        <w:t xml:space="preserve"> of this study were also</w:t>
      </w:r>
      <w:r w:rsidR="007D6493">
        <w:t xml:space="preserve"> primarily obtained through patient-reported data which </w:t>
      </w:r>
      <w:r w:rsidR="002F473E">
        <w:t xml:space="preserve">could introduce recall bias into the pre- and post-treatment </w:t>
      </w:r>
      <w:r w:rsidR="00372D30">
        <w:t>questionnaires</w:t>
      </w:r>
      <w:r w:rsidR="002F473E">
        <w:t>.</w:t>
      </w:r>
      <w:r w:rsidR="00372D30">
        <w:t xml:space="preserve"> The sample size of this study was also </w:t>
      </w:r>
      <w:r w:rsidR="00696A84">
        <w:t>relatively limited</w:t>
      </w:r>
      <w:r w:rsidR="00BC7298">
        <w:t>, especially in certain subgr</w:t>
      </w:r>
      <w:r w:rsidR="00835BA6">
        <w:t>oups such as those with neurogenic bladder or catheter use.</w:t>
      </w:r>
      <w:r w:rsidR="00F56A30">
        <w:t xml:space="preserve"> There was also a </w:t>
      </w:r>
      <w:r w:rsidR="00404641">
        <w:t>lack of interval follow-up with the second questionnaire performed 12 months after the beginning of treatment, which could have led to missing data</w:t>
      </w:r>
      <w:r w:rsidR="00653B68">
        <w:t>.</w:t>
      </w:r>
      <w:r w:rsidR="00FE25FC">
        <w:t xml:space="preserve"> Another limitation is related to the NNT, which is an approximation since this study </w:t>
      </w:r>
      <w:r w:rsidR="000E0CFA">
        <w:t xml:space="preserve">is not a randomized controlled trial so the NNT cannot be precisely </w:t>
      </w:r>
      <w:r w:rsidR="006B1CBD">
        <w:t>calculated</w:t>
      </w:r>
      <w:r w:rsidR="00D747CE">
        <w:t>. Lastly, the study population was based in Portugal and represents a relatively homogenous group, which may limit the generalizability of the study findings to the more diverse population that is reflective in the United States.</w:t>
      </w:r>
    </w:p>
    <w:p w14:paraId="4DAACFB9" w14:textId="77777777" w:rsidR="00BE1AC9" w:rsidRDefault="00BE1AC9" w:rsidP="00B600F4">
      <w:pPr>
        <w:spacing w:line="480" w:lineRule="auto"/>
        <w:rPr>
          <w:b/>
          <w:bCs/>
          <w:u w:val="single"/>
        </w:rPr>
      </w:pPr>
    </w:p>
    <w:p w14:paraId="5C66FCE0" w14:textId="0B8D7AC0" w:rsidR="00BE1AC9" w:rsidRDefault="00B600F4" w:rsidP="00B600F4">
      <w:pPr>
        <w:spacing w:line="480" w:lineRule="auto"/>
        <w:rPr>
          <w:color w:val="000000"/>
        </w:rPr>
      </w:pPr>
      <w:r>
        <w:rPr>
          <w:b/>
          <w:bCs/>
          <w:u w:val="single"/>
        </w:rPr>
        <w:t>Study #</w:t>
      </w:r>
      <w:r w:rsidR="009F4845">
        <w:rPr>
          <w:b/>
          <w:bCs/>
          <w:u w:val="single"/>
        </w:rPr>
        <w:t>3</w:t>
      </w:r>
      <w:r>
        <w:rPr>
          <w:b/>
          <w:bCs/>
          <w:u w:val="single"/>
        </w:rPr>
        <w:t>:</w:t>
      </w:r>
      <w:r w:rsidR="00A94232">
        <w:t xml:space="preserve"> </w:t>
      </w:r>
      <w:r w:rsidR="00A94232" w:rsidRPr="00746473">
        <w:rPr>
          <w:color w:val="000000"/>
        </w:rPr>
        <w:t>Brodie</w:t>
      </w:r>
      <w:r w:rsidR="00A94232">
        <w:rPr>
          <w:color w:val="000000"/>
        </w:rPr>
        <w:t xml:space="preserve"> et al., 2020</w:t>
      </w:r>
    </w:p>
    <w:p w14:paraId="16B19F53" w14:textId="0911F4A2" w:rsidR="005F50BA" w:rsidRDefault="001C22CB" w:rsidP="00BE1AC9">
      <w:pPr>
        <w:spacing w:line="480" w:lineRule="auto"/>
        <w:ind w:firstLine="720"/>
        <w:rPr>
          <w:color w:val="000000"/>
        </w:rPr>
      </w:pPr>
      <w:r>
        <w:rPr>
          <w:color w:val="000000"/>
        </w:rPr>
        <w:t xml:space="preserve">This study </w:t>
      </w:r>
      <w:r w:rsidR="00E80A7D">
        <w:rPr>
          <w:color w:val="000000"/>
        </w:rPr>
        <w:t xml:space="preserve">aimed to evaluate the long-term preventative effect of immunotherapy </w:t>
      </w:r>
      <w:r w:rsidR="005F50BA" w:rsidRPr="005F50BA">
        <w:rPr>
          <w:color w:val="000000"/>
        </w:rPr>
        <w:t xml:space="preserve">with </w:t>
      </w:r>
      <w:r w:rsidR="00B50757">
        <w:rPr>
          <w:color w:val="000000"/>
        </w:rPr>
        <w:t>OM-89 (</w:t>
      </w:r>
      <w:r w:rsidR="005F50BA" w:rsidRPr="005F50BA">
        <w:rPr>
          <w:color w:val="000000"/>
        </w:rPr>
        <w:t>Uro-</w:t>
      </w:r>
      <w:proofErr w:type="spellStart"/>
      <w:r w:rsidR="005F50BA" w:rsidRPr="005F50BA">
        <w:rPr>
          <w:color w:val="000000"/>
        </w:rPr>
        <w:t>Vaxom</w:t>
      </w:r>
      <w:proofErr w:type="spellEnd"/>
      <w:r w:rsidR="005F50BA" w:rsidRPr="005F50BA">
        <w:rPr>
          <w:color w:val="000000"/>
        </w:rPr>
        <w:t>®</w:t>
      </w:r>
      <w:r w:rsidR="00B50757">
        <w:rPr>
          <w:color w:val="000000"/>
        </w:rPr>
        <w:t>)</w:t>
      </w:r>
      <w:r w:rsidR="005F50BA" w:rsidRPr="005F50BA">
        <w:rPr>
          <w:color w:val="000000"/>
        </w:rPr>
        <w:t xml:space="preserve"> on recurrent </w:t>
      </w:r>
      <w:r w:rsidR="00912C44">
        <w:rPr>
          <w:color w:val="000000"/>
        </w:rPr>
        <w:t xml:space="preserve">UTIs </w:t>
      </w:r>
      <w:r w:rsidR="005F50BA" w:rsidRPr="005F50BA">
        <w:rPr>
          <w:color w:val="000000"/>
        </w:rPr>
        <w:t>in adult patients</w:t>
      </w:r>
      <w:r w:rsidR="009D3E7F">
        <w:rPr>
          <w:color w:val="000000"/>
        </w:rPr>
        <w:t xml:space="preserve"> in the United Kingdom</w:t>
      </w:r>
      <w:r w:rsidR="00FA78AE">
        <w:rPr>
          <w:color w:val="000000"/>
        </w:rPr>
        <w:t>.</w:t>
      </w:r>
      <w:r w:rsidR="00DE4439" w:rsidRPr="002C1250">
        <w:rPr>
          <w:color w:val="000000"/>
          <w:vertAlign w:val="superscript"/>
        </w:rPr>
        <w:t>8</w:t>
      </w:r>
      <w:r w:rsidR="00DE4439">
        <w:rPr>
          <w:color w:val="000000"/>
        </w:rPr>
        <w:t xml:space="preserve"> </w:t>
      </w:r>
      <w:r w:rsidR="00B50757">
        <w:rPr>
          <w:color w:val="000000"/>
        </w:rPr>
        <w:t>This vaccination is a</w:t>
      </w:r>
      <w:r w:rsidR="002C1250">
        <w:rPr>
          <w:color w:val="000000"/>
        </w:rPr>
        <w:t>n</w:t>
      </w:r>
      <w:r w:rsidR="00B50757">
        <w:rPr>
          <w:color w:val="000000"/>
        </w:rPr>
        <w:t xml:space="preserve"> imm</w:t>
      </w:r>
      <w:r w:rsidR="002C1250">
        <w:rPr>
          <w:color w:val="000000"/>
        </w:rPr>
        <w:t xml:space="preserve">unostimulant </w:t>
      </w:r>
      <w:r w:rsidR="003A6A7C">
        <w:rPr>
          <w:color w:val="000000"/>
        </w:rPr>
        <w:t xml:space="preserve">that comes in the form on </w:t>
      </w:r>
      <w:r w:rsidR="005234BE">
        <w:rPr>
          <w:color w:val="000000"/>
        </w:rPr>
        <w:t>a</w:t>
      </w:r>
      <w:r w:rsidR="003A6A7C">
        <w:rPr>
          <w:color w:val="000000"/>
        </w:rPr>
        <w:t xml:space="preserve"> 6 mg</w:t>
      </w:r>
      <w:r w:rsidR="005234BE">
        <w:rPr>
          <w:color w:val="000000"/>
        </w:rPr>
        <w:t xml:space="preserve"> oral capsule. It is composed of lyophilized bacterial lysates from 18 strains of </w:t>
      </w:r>
      <w:r w:rsidR="005234BE" w:rsidRPr="005234BE">
        <w:rPr>
          <w:i/>
          <w:iCs/>
          <w:color w:val="000000"/>
        </w:rPr>
        <w:t>E coli</w:t>
      </w:r>
      <w:r w:rsidR="005234BE">
        <w:rPr>
          <w:color w:val="000000"/>
        </w:rPr>
        <w:t>. T</w:t>
      </w:r>
      <w:r w:rsidR="00DA6C47">
        <w:rPr>
          <w:color w:val="000000"/>
        </w:rPr>
        <w:t xml:space="preserve">his vaccine is taken daily by mouth for 90 days </w:t>
      </w:r>
      <w:r w:rsidR="007914C9">
        <w:rPr>
          <w:color w:val="000000"/>
        </w:rPr>
        <w:t>then</w:t>
      </w:r>
      <w:r w:rsidR="00DA6C47">
        <w:rPr>
          <w:color w:val="000000"/>
        </w:rPr>
        <w:t xml:space="preserve"> discontinu</w:t>
      </w:r>
      <w:r w:rsidR="007914C9">
        <w:rPr>
          <w:color w:val="000000"/>
        </w:rPr>
        <w:t>ed</w:t>
      </w:r>
      <w:r w:rsidR="00DA6C47">
        <w:rPr>
          <w:color w:val="000000"/>
        </w:rPr>
        <w:t xml:space="preserve"> for 3 months then</w:t>
      </w:r>
      <w:r w:rsidR="007914C9">
        <w:rPr>
          <w:color w:val="000000"/>
        </w:rPr>
        <w:t xml:space="preserve"> followed by a booster regimen that consists of</w:t>
      </w:r>
      <w:r w:rsidR="00DA6C47">
        <w:rPr>
          <w:color w:val="000000"/>
        </w:rPr>
        <w:t xml:space="preserve"> readministration for the </w:t>
      </w:r>
      <w:r w:rsidR="007914C9">
        <w:rPr>
          <w:color w:val="000000"/>
        </w:rPr>
        <w:t xml:space="preserve">first 10 days of </w:t>
      </w:r>
      <w:r w:rsidR="00BE1AC9">
        <w:rPr>
          <w:color w:val="000000"/>
        </w:rPr>
        <w:t>subsequent months 7, 8, and 9.</w:t>
      </w:r>
    </w:p>
    <w:p w14:paraId="4E98D3B8" w14:textId="6A27DF62" w:rsidR="00B600F4" w:rsidRDefault="00B600F4" w:rsidP="00B600F4">
      <w:pPr>
        <w:spacing w:line="480" w:lineRule="auto"/>
        <w:rPr>
          <w:b/>
          <w:bCs/>
        </w:rPr>
      </w:pPr>
      <w:r>
        <w:rPr>
          <w:b/>
          <w:bCs/>
        </w:rPr>
        <w:t xml:space="preserve">Validity assessment: </w:t>
      </w:r>
    </w:p>
    <w:p w14:paraId="57FF1794" w14:textId="46A78AC4" w:rsidR="00B600F4" w:rsidRPr="008E7CE5" w:rsidRDefault="00B600F4" w:rsidP="00B600F4">
      <w:pPr>
        <w:spacing w:line="480" w:lineRule="auto"/>
      </w:pPr>
      <w:r>
        <w:rPr>
          <w:b/>
          <w:bCs/>
          <w:i/>
          <w:iCs/>
        </w:rPr>
        <w:t>Study design:</w:t>
      </w:r>
      <w:r w:rsidR="00BE1AC9">
        <w:rPr>
          <w:b/>
          <w:bCs/>
          <w:i/>
          <w:iCs/>
        </w:rPr>
        <w:t xml:space="preserve"> </w:t>
      </w:r>
      <w:r w:rsidR="005A4315">
        <w:t xml:space="preserve">In this study, a UTI episode was defined as </w:t>
      </w:r>
      <w:r w:rsidR="005A4315" w:rsidRPr="00883943">
        <w:rPr>
          <w:u w:val="single"/>
        </w:rPr>
        <w:t>&gt;</w:t>
      </w:r>
      <w:r w:rsidR="005A4315">
        <w:t xml:space="preserve">10 colony-forming units (CFU) per mL of bacteria with associated urinary symptoms or a positive urine culture in the absence of </w:t>
      </w:r>
      <w:r w:rsidR="005A4315">
        <w:lastRenderedPageBreak/>
        <w:t xml:space="preserve">symptoms. The intervention in this study, the OM-89 vaccine, works </w:t>
      </w:r>
      <w:r w:rsidR="009C4E53">
        <w:t>b</w:t>
      </w:r>
      <w:r w:rsidR="005A4315">
        <w:t xml:space="preserve">y increasing both humoral and cellular immune responses to UTIs through the stimulation of macrophages and lymphocytes, and by increasing the circulating levels of endogenous IgA/IgG antibodies. </w:t>
      </w:r>
      <w:r w:rsidR="00ED2CAB">
        <w:t>This study was conducted as a registered clinical audit with retrospective analysis</w:t>
      </w:r>
      <w:r w:rsidR="00E0514E">
        <w:t xml:space="preserve">. The primary outcome of this study was to </w:t>
      </w:r>
      <w:r w:rsidR="00912C44">
        <w:t xml:space="preserve">evaluate the effectiveness of OM-89 in patients with recurrent UTIs. </w:t>
      </w:r>
      <w:r w:rsidR="00565B9F">
        <w:t>The secondary outcomes included assessing patient satisfaction an</w:t>
      </w:r>
      <w:r w:rsidR="00A72EBB">
        <w:t>d</w:t>
      </w:r>
      <w:r w:rsidR="00565B9F">
        <w:t xml:space="preserve"> adverse side </w:t>
      </w:r>
      <w:r w:rsidR="00A72EBB">
        <w:t>effects</w:t>
      </w:r>
      <w:r w:rsidR="00565B9F">
        <w:t>.</w:t>
      </w:r>
    </w:p>
    <w:p w14:paraId="70386B85" w14:textId="2C91B735" w:rsidR="00B600F4" w:rsidRPr="00474B0C" w:rsidRDefault="00B600F4" w:rsidP="00B600F4">
      <w:pPr>
        <w:spacing w:line="480" w:lineRule="auto"/>
      </w:pPr>
      <w:r>
        <w:rPr>
          <w:b/>
          <w:bCs/>
          <w:i/>
          <w:iCs/>
        </w:rPr>
        <w:t>Study conduct:</w:t>
      </w:r>
      <w:r w:rsidR="00DE6D5E">
        <w:rPr>
          <w:b/>
          <w:bCs/>
          <w:i/>
          <w:iCs/>
        </w:rPr>
        <w:t xml:space="preserve"> </w:t>
      </w:r>
      <w:r w:rsidR="00474B0C">
        <w:t>This study was conducted from September 2012 to March 2015</w:t>
      </w:r>
      <w:r w:rsidR="00C21B14">
        <w:t xml:space="preserve">. Patients </w:t>
      </w:r>
      <w:r w:rsidR="00094D11">
        <w:t xml:space="preserve">who had received </w:t>
      </w:r>
      <w:r w:rsidR="004E0643">
        <w:t xml:space="preserve">prescriptions of OM-89 </w:t>
      </w:r>
      <w:r w:rsidR="00C21B14">
        <w:t>were identified from pharmacy records</w:t>
      </w:r>
      <w:r w:rsidR="004E0643">
        <w:t xml:space="preserve"> and retrospective analysis of medical records were used to assess response to treatment and patient satisfaction.</w:t>
      </w:r>
      <w:r w:rsidR="002343B0">
        <w:t xml:space="preserve"> Inclusion criteria for the study </w:t>
      </w:r>
      <w:r w:rsidR="00DD32B8">
        <w:t>involved prior cystoscopic or radiological investigation</w:t>
      </w:r>
      <w:r w:rsidR="004A2440">
        <w:t>s</w:t>
      </w:r>
      <w:r w:rsidR="00AE065A">
        <w:t xml:space="preserve"> to evaluate for any underlying urologic abnormalities. </w:t>
      </w:r>
      <w:r w:rsidR="00851527">
        <w:t>If any structural</w:t>
      </w:r>
      <w:r w:rsidR="00AD195D">
        <w:t xml:space="preserve"> or complicated urinary tract conditions were identified, those patients were excluded from the study in efforts to maintain a homogenous population of recurrent uncomplicated UTI patients. </w:t>
      </w:r>
      <w:r w:rsidR="003D472C">
        <w:t>Ultimately, the final study population was comprised of</w:t>
      </w:r>
      <w:r w:rsidR="00AB2DE9">
        <w:t xml:space="preserve"> 79 patients</w:t>
      </w:r>
      <w:r w:rsidR="003D472C">
        <w:t xml:space="preserve">, </w:t>
      </w:r>
      <w:r w:rsidR="00AB2DE9">
        <w:t>7</w:t>
      </w:r>
      <w:r w:rsidR="00AE77DE">
        <w:t>5 females (95%) and 4 males (5%)</w:t>
      </w:r>
      <w:r w:rsidR="003D472C">
        <w:t xml:space="preserve"> with a mean age of 56 years and a range of 19 to 90 years.</w:t>
      </w:r>
    </w:p>
    <w:p w14:paraId="541BB4A5" w14:textId="0A17E4A4" w:rsidR="00DA3337" w:rsidRPr="008621EB" w:rsidRDefault="00B600F4" w:rsidP="00B600F4">
      <w:pPr>
        <w:spacing w:line="480" w:lineRule="auto"/>
      </w:pPr>
      <w:r>
        <w:rPr>
          <w:b/>
          <w:bCs/>
          <w:i/>
          <w:iCs/>
        </w:rPr>
        <w:t>Study results:</w:t>
      </w:r>
      <w:r w:rsidR="008621EB">
        <w:rPr>
          <w:b/>
          <w:bCs/>
          <w:i/>
          <w:iCs/>
        </w:rPr>
        <w:t xml:space="preserve"> </w:t>
      </w:r>
      <w:r w:rsidR="008621EB">
        <w:t xml:space="preserve">The study found that there a significant decrease in the mean number of UTIs </w:t>
      </w:r>
      <w:r w:rsidR="00A359C2">
        <w:t xml:space="preserve">in the year following initiation of </w:t>
      </w:r>
      <w:r w:rsidR="00F74696">
        <w:t>OM-89</w:t>
      </w:r>
      <w:r w:rsidR="00A359C2">
        <w:t xml:space="preserve">, compared to the year </w:t>
      </w:r>
      <w:r w:rsidR="00F74696">
        <w:t>preceding</w:t>
      </w:r>
      <w:r w:rsidR="00A359C2">
        <w:t xml:space="preserve"> </w:t>
      </w:r>
      <w:r w:rsidR="00F74696">
        <w:t>the treatment: 3.14 versus 1.53 respectively (p &lt; 0.05).</w:t>
      </w:r>
      <w:r w:rsidR="005B2DF7">
        <w:t xml:space="preserve"> </w:t>
      </w:r>
      <w:r w:rsidR="0074357A">
        <w:t xml:space="preserve">This statistically significant result corresponds to an NNT of approximately </w:t>
      </w:r>
      <w:r w:rsidR="003E364E">
        <w:t>2</w:t>
      </w:r>
      <w:r w:rsidR="0074357A">
        <w:t xml:space="preserve"> to prevent one recurrent UTI.</w:t>
      </w:r>
      <w:r w:rsidR="008B6EDB">
        <w:t xml:space="preserve"> </w:t>
      </w:r>
      <w:r w:rsidR="005B2DF7">
        <w:t>Based on the diagnostic results, the most common causative bacteria</w:t>
      </w:r>
      <w:r w:rsidR="00745C4C">
        <w:t>,</w:t>
      </w:r>
      <w:r w:rsidR="005B2DF7">
        <w:t xml:space="preserve"> </w:t>
      </w:r>
      <w:r w:rsidR="00745C4C">
        <w:t xml:space="preserve">cultured in mid-stream urines, </w:t>
      </w:r>
      <w:r w:rsidR="00544513">
        <w:t xml:space="preserve">was </w:t>
      </w:r>
      <w:r w:rsidR="00544513" w:rsidRPr="00544513">
        <w:rPr>
          <w:i/>
          <w:iCs/>
        </w:rPr>
        <w:t>E</w:t>
      </w:r>
      <w:r w:rsidR="009F3C68">
        <w:rPr>
          <w:i/>
          <w:iCs/>
        </w:rPr>
        <w:t>.</w:t>
      </w:r>
      <w:r w:rsidR="00544513" w:rsidRPr="00544513">
        <w:rPr>
          <w:i/>
          <w:iCs/>
        </w:rPr>
        <w:t xml:space="preserve"> coli</w:t>
      </w:r>
      <w:r w:rsidR="00544513">
        <w:t xml:space="preserve"> (49%). The other causative bacteria identified were </w:t>
      </w:r>
      <w:r w:rsidR="00544513" w:rsidRPr="00544513">
        <w:rPr>
          <w:i/>
          <w:iCs/>
        </w:rPr>
        <w:t>Klebsiella</w:t>
      </w:r>
      <w:r w:rsidR="00544513">
        <w:t xml:space="preserve"> (9%) and </w:t>
      </w:r>
      <w:r w:rsidR="00544513" w:rsidRPr="00544513">
        <w:rPr>
          <w:i/>
          <w:iCs/>
        </w:rPr>
        <w:t>proteus</w:t>
      </w:r>
      <w:r w:rsidR="00544513">
        <w:t xml:space="preserve"> </w:t>
      </w:r>
      <w:r w:rsidR="00F85E3B">
        <w:t>(</w:t>
      </w:r>
      <w:r w:rsidR="00544513">
        <w:t>1%</w:t>
      </w:r>
      <w:r w:rsidR="00F85E3B">
        <w:t>)</w:t>
      </w:r>
      <w:r w:rsidR="00544513">
        <w:t>.</w:t>
      </w:r>
      <w:r w:rsidR="00F85E3B">
        <w:t xml:space="preserve"> 23% of the recorded UTIs </w:t>
      </w:r>
      <w:r w:rsidR="002E202A">
        <w:t>had mixed growth cultures and the remaining 18%</w:t>
      </w:r>
      <w:r w:rsidR="00565ABE">
        <w:t xml:space="preserve"> had a variety of different bacteria including </w:t>
      </w:r>
      <w:r w:rsidR="00565ABE" w:rsidRPr="00565ABE">
        <w:rPr>
          <w:i/>
          <w:iCs/>
        </w:rPr>
        <w:t>enterococcus</w:t>
      </w:r>
      <w:r w:rsidR="00565ABE">
        <w:t xml:space="preserve">, </w:t>
      </w:r>
      <w:r w:rsidR="00565ABE" w:rsidRPr="00565ABE">
        <w:rPr>
          <w:i/>
          <w:iCs/>
        </w:rPr>
        <w:t>citrobacter</w:t>
      </w:r>
      <w:r w:rsidR="00565ABE">
        <w:t xml:space="preserve">, </w:t>
      </w:r>
      <w:r w:rsidR="00565ABE" w:rsidRPr="00565ABE">
        <w:rPr>
          <w:i/>
          <w:iCs/>
        </w:rPr>
        <w:t>pseudomonas</w:t>
      </w:r>
      <w:r w:rsidR="00565ABE">
        <w:t xml:space="preserve">, and </w:t>
      </w:r>
      <w:r w:rsidR="00565ABE" w:rsidRPr="00565ABE">
        <w:rPr>
          <w:i/>
          <w:iCs/>
        </w:rPr>
        <w:t>coliforns</w:t>
      </w:r>
      <w:r w:rsidR="00565ABE">
        <w:t>.</w:t>
      </w:r>
      <w:r w:rsidR="00221D8D">
        <w:t xml:space="preserve"> Among the 23% with mixed growth cultures, 0%</w:t>
      </w:r>
      <w:r w:rsidR="001E1B39">
        <w:t xml:space="preserve"> had a </w:t>
      </w:r>
      <w:r w:rsidR="001E1B39">
        <w:lastRenderedPageBreak/>
        <w:t>reduction in UTI occurrences after treatment with OM-89.</w:t>
      </w:r>
      <w:r w:rsidR="009F3C68">
        <w:t xml:space="preserve"> Among the 49% with </w:t>
      </w:r>
      <w:r w:rsidR="009F3C68" w:rsidRPr="009F3C68">
        <w:rPr>
          <w:i/>
          <w:iCs/>
        </w:rPr>
        <w:t>E. coli</w:t>
      </w:r>
      <w:r w:rsidR="009F3C68">
        <w:t xml:space="preserve"> cultures, </w:t>
      </w:r>
      <w:r w:rsidR="008F234F">
        <w:t>63% had a reduction in UTI occurrences.</w:t>
      </w:r>
      <w:r w:rsidR="00CA20BB">
        <w:t xml:space="preserve"> Overall response rate to OM-89 regardless of bacterial growth </w:t>
      </w:r>
      <w:r w:rsidR="00B97B44">
        <w:t>was 59.4%</w:t>
      </w:r>
      <w:r w:rsidR="008C53F7">
        <w:t xml:space="preserve"> and there </w:t>
      </w:r>
      <w:proofErr w:type="gramStart"/>
      <w:r w:rsidR="008C53F7">
        <w:t>was</w:t>
      </w:r>
      <w:proofErr w:type="gramEnd"/>
      <w:r w:rsidR="008C53F7">
        <w:t xml:space="preserve"> no statistical</w:t>
      </w:r>
      <w:r w:rsidR="00C346A1">
        <w:t>ly significant</w:t>
      </w:r>
      <w:r w:rsidR="008C53F7">
        <w:t xml:space="preserve"> difference</w:t>
      </w:r>
      <w:r w:rsidR="00C346A1">
        <w:t>s</w:t>
      </w:r>
      <w:r w:rsidR="008C53F7">
        <w:t xml:space="preserve"> in response rate between patients growing different pathogens (p &lt; 0.76).</w:t>
      </w:r>
      <w:r w:rsidR="00361FAE">
        <w:t xml:space="preserve"> Regarding patient satisfaction, 60.4% reports a positive satisfaction rating and </w:t>
      </w:r>
      <w:r w:rsidR="00E71927">
        <w:t xml:space="preserve">30.2% reported equivocal change in their symptoms. </w:t>
      </w:r>
      <w:r w:rsidR="000F4006">
        <w:t>Regarding side effects</w:t>
      </w:r>
      <w:r w:rsidR="003E224B">
        <w:t xml:space="preserve"> from the vaccine</w:t>
      </w:r>
      <w:r w:rsidR="000F4006">
        <w:t>, 9.4% report</w:t>
      </w:r>
      <w:r w:rsidR="003E224B">
        <w:t xml:space="preserve">ed </w:t>
      </w:r>
      <w:r w:rsidR="000F4006">
        <w:t>adverse effects</w:t>
      </w:r>
      <w:r w:rsidR="003E224B">
        <w:t xml:space="preserve"> including </w:t>
      </w:r>
      <w:r w:rsidR="000F4006">
        <w:t>urethral symptoms, rash, gastrointestinal discomfort, and increased blood pressure</w:t>
      </w:r>
      <w:r w:rsidR="009C4E53">
        <w:t xml:space="preserve">. </w:t>
      </w:r>
      <w:r w:rsidR="000C3834">
        <w:t>Anaphylaxis was not reported among the study population. The median follow-up period was 100 days.</w:t>
      </w:r>
    </w:p>
    <w:p w14:paraId="6E46A0A2" w14:textId="5378B882" w:rsidR="00B600F4" w:rsidRPr="007862AA" w:rsidRDefault="00B600F4" w:rsidP="00B600F4">
      <w:pPr>
        <w:spacing w:line="480" w:lineRule="auto"/>
      </w:pPr>
      <w:r>
        <w:rPr>
          <w:b/>
          <w:bCs/>
        </w:rPr>
        <w:t>Study conclusions:</w:t>
      </w:r>
      <w:r w:rsidR="008C53F7">
        <w:rPr>
          <w:b/>
          <w:bCs/>
        </w:rPr>
        <w:t xml:space="preserve"> </w:t>
      </w:r>
      <w:r w:rsidR="007862AA">
        <w:t xml:space="preserve">This study concluded that the OM-89 appears </w:t>
      </w:r>
      <w:r w:rsidR="009D3E7F">
        <w:t>to be a safe and affective non-antibiotic</w:t>
      </w:r>
      <w:r w:rsidR="000802EB">
        <w:t xml:space="preserve"> intervention for the prevention of recurrent UTIs. Throughout this study, patients experienced a significant reduction in the mean </w:t>
      </w:r>
      <w:r w:rsidR="00DD18F5">
        <w:t>number of UTI episodes during the 12 months after receiving treatment compared with the 12 months prior to treatment.</w:t>
      </w:r>
      <w:r w:rsidR="008461EF">
        <w:t xml:space="preserve"> The vaccination was generally well tolerated with 9.4% of study patients reports side effects such </w:t>
      </w:r>
      <w:r w:rsidR="00106BB8">
        <w:t xml:space="preserve">as </w:t>
      </w:r>
      <w:r w:rsidR="008461EF">
        <w:t xml:space="preserve">gastrointestinal discomfort or rash. Patient satisfaction was also favorable </w:t>
      </w:r>
      <w:r w:rsidR="00311D25">
        <w:t>with the majority of study patients reporting a positive treatment experience.</w:t>
      </w:r>
    </w:p>
    <w:p w14:paraId="04898198" w14:textId="275A0082" w:rsidR="006B1CBD" w:rsidRPr="003C72DE" w:rsidRDefault="00B600F4" w:rsidP="006B1CBD">
      <w:pPr>
        <w:spacing w:line="480" w:lineRule="auto"/>
      </w:pPr>
      <w:r>
        <w:rPr>
          <w:b/>
          <w:bCs/>
        </w:rPr>
        <w:t>Study limitations:</w:t>
      </w:r>
      <w:r w:rsidR="00203CB5">
        <w:rPr>
          <w:b/>
          <w:bCs/>
        </w:rPr>
        <w:t xml:space="preserve"> </w:t>
      </w:r>
      <w:r w:rsidR="00203CB5">
        <w:t xml:space="preserve">A limitation of this study was that it lacked randomization or a placebo control group, which </w:t>
      </w:r>
      <w:r w:rsidR="00106BB8">
        <w:t xml:space="preserve">could introduce selection bias and confounding factors. Additionally, it makes it difficult to establish a direct causal relationship between the OM-89 </w:t>
      </w:r>
      <w:r w:rsidR="004435C9">
        <w:t>vaccination</w:t>
      </w:r>
      <w:r w:rsidR="00106BB8">
        <w:t xml:space="preserve"> </w:t>
      </w:r>
      <w:r w:rsidR="004435C9">
        <w:t>and the reduction in UTIs. The sample size was also another limitation as it was relatively small</w:t>
      </w:r>
      <w:r w:rsidR="006F5174">
        <w:t>, limiting generalizability of findings to broader populations. The study also relied heavily on retrospective chart r</w:t>
      </w:r>
      <w:r w:rsidR="0030128C">
        <w:t>eview and patient-reported outcomes, which could introduce recall bias or incomplete data collection.</w:t>
      </w:r>
      <w:r w:rsidR="003E364E">
        <w:t xml:space="preserve"> </w:t>
      </w:r>
      <w:r w:rsidR="006B1CBD">
        <w:t>Another limitation is related to the NNT, which is an approximation since this study is retrospective and lack a control group</w:t>
      </w:r>
      <w:r w:rsidR="006D6157">
        <w:t xml:space="preserve"> so the NNT cannot be calculated precisely.</w:t>
      </w:r>
    </w:p>
    <w:p w14:paraId="5883FEB2" w14:textId="2A3D6914" w:rsidR="00B600F4" w:rsidRDefault="00B600F4" w:rsidP="00B600F4">
      <w:pPr>
        <w:spacing w:line="480" w:lineRule="auto"/>
      </w:pPr>
    </w:p>
    <w:p w14:paraId="01236D84" w14:textId="77777777" w:rsidR="004764B2" w:rsidRDefault="004764B2" w:rsidP="004764B2">
      <w:r>
        <w:t>Figure 1. Summary of UTI Vaccine Studies: Designs, Outcomes, and Safety</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495"/>
        <w:gridCol w:w="980"/>
        <w:gridCol w:w="1635"/>
        <w:gridCol w:w="1356"/>
        <w:gridCol w:w="1141"/>
        <w:gridCol w:w="1631"/>
        <w:gridCol w:w="1112"/>
      </w:tblGrid>
      <w:tr w:rsidR="00DD189B" w14:paraId="11EEAE0D" w14:textId="77777777" w:rsidTr="00070189">
        <w:trPr>
          <w:tblHeader/>
          <w:tblCellSpacing w:w="15" w:type="dxa"/>
        </w:trPr>
        <w:tc>
          <w:tcPr>
            <w:tcW w:w="0" w:type="auto"/>
            <w:vAlign w:val="center"/>
            <w:hideMark/>
          </w:tcPr>
          <w:p w14:paraId="1739D573" w14:textId="77777777" w:rsidR="00DD189B" w:rsidRDefault="00DD189B">
            <w:pPr>
              <w:jc w:val="center"/>
              <w:rPr>
                <w:b/>
                <w:bCs/>
              </w:rPr>
            </w:pPr>
            <w:r>
              <w:rPr>
                <w:b/>
                <w:bCs/>
              </w:rPr>
              <w:t>Study / Design</w:t>
            </w:r>
          </w:p>
        </w:tc>
        <w:tc>
          <w:tcPr>
            <w:tcW w:w="0" w:type="auto"/>
            <w:vAlign w:val="center"/>
            <w:hideMark/>
          </w:tcPr>
          <w:p w14:paraId="20BE5F8A" w14:textId="77777777" w:rsidR="00DD189B" w:rsidRDefault="00DD189B">
            <w:pPr>
              <w:jc w:val="center"/>
              <w:rPr>
                <w:b/>
                <w:bCs/>
              </w:rPr>
            </w:pPr>
            <w:r>
              <w:rPr>
                <w:b/>
                <w:bCs/>
              </w:rPr>
              <w:t>Total Patients</w:t>
            </w:r>
          </w:p>
        </w:tc>
        <w:tc>
          <w:tcPr>
            <w:tcW w:w="0" w:type="auto"/>
            <w:vAlign w:val="center"/>
            <w:hideMark/>
          </w:tcPr>
          <w:p w14:paraId="426404E7" w14:textId="77777777" w:rsidR="00DD189B" w:rsidRDefault="00DD189B">
            <w:pPr>
              <w:jc w:val="center"/>
              <w:rPr>
                <w:b/>
                <w:bCs/>
              </w:rPr>
            </w:pPr>
            <w:r>
              <w:rPr>
                <w:b/>
                <w:bCs/>
              </w:rPr>
              <w:t>Active</w:t>
            </w:r>
          </w:p>
        </w:tc>
        <w:tc>
          <w:tcPr>
            <w:tcW w:w="0" w:type="auto"/>
            <w:vAlign w:val="center"/>
            <w:hideMark/>
          </w:tcPr>
          <w:p w14:paraId="121CEE9B" w14:textId="77777777" w:rsidR="00DD189B" w:rsidRDefault="00DD189B">
            <w:pPr>
              <w:jc w:val="center"/>
              <w:rPr>
                <w:b/>
                <w:bCs/>
              </w:rPr>
            </w:pPr>
            <w:r>
              <w:rPr>
                <w:b/>
                <w:bCs/>
              </w:rPr>
              <w:t>Comparison</w:t>
            </w:r>
          </w:p>
        </w:tc>
        <w:tc>
          <w:tcPr>
            <w:tcW w:w="0" w:type="auto"/>
            <w:vAlign w:val="center"/>
            <w:hideMark/>
          </w:tcPr>
          <w:p w14:paraId="7AFA7E3B" w14:textId="77777777" w:rsidR="00DD189B" w:rsidRDefault="00DD189B">
            <w:pPr>
              <w:jc w:val="center"/>
              <w:rPr>
                <w:b/>
                <w:bCs/>
              </w:rPr>
            </w:pPr>
            <w:r>
              <w:rPr>
                <w:b/>
                <w:bCs/>
              </w:rPr>
              <w:t>Patient Timeline</w:t>
            </w:r>
          </w:p>
        </w:tc>
        <w:tc>
          <w:tcPr>
            <w:tcW w:w="0" w:type="auto"/>
            <w:vAlign w:val="center"/>
            <w:hideMark/>
          </w:tcPr>
          <w:p w14:paraId="76C99A09" w14:textId="77777777" w:rsidR="00DD189B" w:rsidRDefault="00DD189B">
            <w:pPr>
              <w:jc w:val="center"/>
              <w:rPr>
                <w:b/>
                <w:bCs/>
              </w:rPr>
            </w:pPr>
            <w:r>
              <w:rPr>
                <w:b/>
                <w:bCs/>
              </w:rPr>
              <w:t>Efficacy Outcome</w:t>
            </w:r>
          </w:p>
        </w:tc>
        <w:tc>
          <w:tcPr>
            <w:tcW w:w="0" w:type="auto"/>
            <w:vAlign w:val="center"/>
            <w:hideMark/>
          </w:tcPr>
          <w:p w14:paraId="2F274E2C" w14:textId="77777777" w:rsidR="00DD189B" w:rsidRDefault="00DD189B">
            <w:pPr>
              <w:jc w:val="center"/>
              <w:rPr>
                <w:b/>
                <w:bCs/>
              </w:rPr>
            </w:pPr>
            <w:r>
              <w:rPr>
                <w:b/>
                <w:bCs/>
              </w:rPr>
              <w:t>Safety Outcome</w:t>
            </w:r>
          </w:p>
        </w:tc>
      </w:tr>
      <w:tr w:rsidR="00DD189B" w14:paraId="76598D9D" w14:textId="77777777" w:rsidTr="00070189">
        <w:trPr>
          <w:tblCellSpacing w:w="15" w:type="dxa"/>
        </w:trPr>
        <w:tc>
          <w:tcPr>
            <w:tcW w:w="0" w:type="auto"/>
            <w:vAlign w:val="center"/>
            <w:hideMark/>
          </w:tcPr>
          <w:p w14:paraId="0C97E7D1" w14:textId="77777777" w:rsidR="00DD189B" w:rsidRDefault="00DD189B">
            <w:r>
              <w:rPr>
                <w:rStyle w:val="Strong"/>
                <w:rFonts w:eastAsiaTheme="majorEastAsia"/>
              </w:rPr>
              <w:t>Huttner et al. (2017)</w:t>
            </w:r>
            <w:r>
              <w:t xml:space="preserve"> Phase 1b randomized single-blind placebo-controlled trial</w:t>
            </w:r>
          </w:p>
        </w:tc>
        <w:tc>
          <w:tcPr>
            <w:tcW w:w="0" w:type="auto"/>
            <w:vAlign w:val="center"/>
            <w:hideMark/>
          </w:tcPr>
          <w:p w14:paraId="3AA4EE28" w14:textId="77777777" w:rsidR="00DD189B" w:rsidRDefault="00DD189B">
            <w:r>
              <w:rPr>
                <w:rStyle w:val="Strong"/>
                <w:rFonts w:eastAsiaTheme="majorEastAsia"/>
              </w:rPr>
              <w:t>93 women</w:t>
            </w:r>
            <w:r>
              <w:t xml:space="preserve"> (63 vaccine, 30 placebo)</w:t>
            </w:r>
          </w:p>
        </w:tc>
        <w:tc>
          <w:tcPr>
            <w:tcW w:w="0" w:type="auto"/>
            <w:vAlign w:val="center"/>
            <w:hideMark/>
          </w:tcPr>
          <w:p w14:paraId="645134F8" w14:textId="77777777" w:rsidR="00DD189B" w:rsidRDefault="00DD189B">
            <w:r>
              <w:t xml:space="preserve">ExPEC4V vaccine (4-valent </w:t>
            </w:r>
            <w:r>
              <w:rPr>
                <w:rStyle w:val="Emphasis"/>
                <w:rFonts w:eastAsiaTheme="majorEastAsia"/>
              </w:rPr>
              <w:t>E. coli</w:t>
            </w:r>
            <w:r>
              <w:t xml:space="preserve"> vaccine)</w:t>
            </w:r>
          </w:p>
        </w:tc>
        <w:tc>
          <w:tcPr>
            <w:tcW w:w="0" w:type="auto"/>
            <w:vAlign w:val="center"/>
            <w:hideMark/>
          </w:tcPr>
          <w:p w14:paraId="1A69F007" w14:textId="77777777" w:rsidR="00DD189B" w:rsidRDefault="00DD189B">
            <w:r>
              <w:t>Placebo</w:t>
            </w:r>
          </w:p>
        </w:tc>
        <w:tc>
          <w:tcPr>
            <w:tcW w:w="0" w:type="auto"/>
            <w:vAlign w:val="center"/>
            <w:hideMark/>
          </w:tcPr>
          <w:p w14:paraId="6D29FF87" w14:textId="77777777" w:rsidR="00DD189B" w:rsidRDefault="00DD189B">
            <w:r>
              <w:t xml:space="preserve">3 doses over ~6 months with </w:t>
            </w:r>
            <w:r>
              <w:rPr>
                <w:rStyle w:val="Strong"/>
                <w:rFonts w:eastAsiaTheme="majorEastAsia"/>
              </w:rPr>
              <w:t>12-month follow-up</w:t>
            </w:r>
          </w:p>
        </w:tc>
        <w:tc>
          <w:tcPr>
            <w:tcW w:w="0" w:type="auto"/>
            <w:vAlign w:val="center"/>
            <w:hideMark/>
          </w:tcPr>
          <w:p w14:paraId="7F3CC6B7" w14:textId="77777777" w:rsidR="00DD189B" w:rsidRDefault="00DD189B">
            <w:r>
              <w:t xml:space="preserve">Vaccine produced </w:t>
            </w:r>
            <w:r>
              <w:rPr>
                <w:rStyle w:val="Strong"/>
                <w:rFonts w:eastAsiaTheme="majorEastAsia"/>
              </w:rPr>
              <w:t>strong antibody responses</w:t>
            </w:r>
            <w:r>
              <w:t xml:space="preserve"> to targeted </w:t>
            </w:r>
            <w:r>
              <w:rPr>
                <w:rStyle w:val="Emphasis"/>
                <w:rFonts w:eastAsiaTheme="majorEastAsia"/>
              </w:rPr>
              <w:t>E. coli</w:t>
            </w:r>
            <w:r>
              <w:t xml:space="preserve"> serotypes and showed </w:t>
            </w:r>
            <w:r>
              <w:rPr>
                <w:rStyle w:val="Strong"/>
                <w:rFonts w:eastAsiaTheme="majorEastAsia"/>
              </w:rPr>
              <w:t>reduced UTI episodes in exploratory analyses</w:t>
            </w:r>
            <w:r>
              <w:t xml:space="preserve"> compared with placebo</w:t>
            </w:r>
          </w:p>
        </w:tc>
        <w:tc>
          <w:tcPr>
            <w:tcW w:w="0" w:type="auto"/>
            <w:vAlign w:val="center"/>
            <w:hideMark/>
          </w:tcPr>
          <w:p w14:paraId="59A0513E" w14:textId="77777777" w:rsidR="00DD189B" w:rsidRDefault="00DD189B">
            <w:r>
              <w:t>No vaccine-related serious adverse events; mostly mild injection-site reactions</w:t>
            </w:r>
          </w:p>
        </w:tc>
      </w:tr>
      <w:tr w:rsidR="00DD189B" w14:paraId="7938A5E3" w14:textId="77777777" w:rsidTr="00070189">
        <w:trPr>
          <w:tblCellSpacing w:w="15" w:type="dxa"/>
        </w:trPr>
        <w:tc>
          <w:tcPr>
            <w:tcW w:w="0" w:type="auto"/>
            <w:vAlign w:val="center"/>
            <w:hideMark/>
          </w:tcPr>
          <w:p w14:paraId="649AB4EC" w14:textId="77777777" w:rsidR="00DD189B" w:rsidRDefault="00DD189B">
            <w:r>
              <w:rPr>
                <w:rStyle w:val="Strong"/>
                <w:rFonts w:eastAsiaTheme="majorEastAsia"/>
              </w:rPr>
              <w:t>Lopes et al. (2024)</w:t>
            </w:r>
            <w:r>
              <w:t xml:space="preserve"> Prospective real-life observational study</w:t>
            </w:r>
          </w:p>
        </w:tc>
        <w:tc>
          <w:tcPr>
            <w:tcW w:w="0" w:type="auto"/>
            <w:vAlign w:val="center"/>
            <w:hideMark/>
          </w:tcPr>
          <w:p w14:paraId="1E1BA95D" w14:textId="77777777" w:rsidR="00DD189B" w:rsidRDefault="00DD189B">
            <w:r>
              <w:rPr>
                <w:rStyle w:val="Strong"/>
                <w:rFonts w:eastAsiaTheme="majorEastAsia"/>
              </w:rPr>
              <w:t>166 patients</w:t>
            </w:r>
            <w:r>
              <w:t xml:space="preserve"> with recurrent UTIs</w:t>
            </w:r>
          </w:p>
        </w:tc>
        <w:tc>
          <w:tcPr>
            <w:tcW w:w="0" w:type="auto"/>
            <w:vAlign w:val="center"/>
            <w:hideMark/>
          </w:tcPr>
          <w:p w14:paraId="263D1048" w14:textId="77777777" w:rsidR="00DD189B" w:rsidRDefault="00DD189B">
            <w:r>
              <w:t>MV140 sublingual bacterial vaccine</w:t>
            </w:r>
          </w:p>
        </w:tc>
        <w:tc>
          <w:tcPr>
            <w:tcW w:w="0" w:type="auto"/>
            <w:vAlign w:val="center"/>
            <w:hideMark/>
          </w:tcPr>
          <w:p w14:paraId="0FA6562D" w14:textId="77777777" w:rsidR="00DD189B" w:rsidRDefault="00DD189B">
            <w:r>
              <w:t>Baseline comparison</w:t>
            </w:r>
          </w:p>
        </w:tc>
        <w:tc>
          <w:tcPr>
            <w:tcW w:w="0" w:type="auto"/>
            <w:vAlign w:val="center"/>
            <w:hideMark/>
          </w:tcPr>
          <w:p w14:paraId="7B44C2C7" w14:textId="77777777" w:rsidR="00DD189B" w:rsidRDefault="00DD189B">
            <w:r>
              <w:rPr>
                <w:rStyle w:val="Strong"/>
                <w:rFonts w:eastAsiaTheme="majorEastAsia"/>
              </w:rPr>
              <w:t>12 months before vs 12 months after treatment</w:t>
            </w:r>
          </w:p>
        </w:tc>
        <w:tc>
          <w:tcPr>
            <w:tcW w:w="0" w:type="auto"/>
            <w:vAlign w:val="center"/>
            <w:hideMark/>
          </w:tcPr>
          <w:p w14:paraId="17F1429C" w14:textId="77777777" w:rsidR="00DD189B" w:rsidRDefault="00DD189B">
            <w:r>
              <w:t xml:space="preserve">Mean UTIs decreased from </w:t>
            </w:r>
            <w:r>
              <w:rPr>
                <w:rStyle w:val="Strong"/>
                <w:rFonts w:eastAsiaTheme="majorEastAsia"/>
              </w:rPr>
              <w:t>3.14 to 0.84 episodes/year</w:t>
            </w:r>
            <w:r>
              <w:t xml:space="preserve"> (≈ </w:t>
            </w:r>
            <w:r>
              <w:rPr>
                <w:rStyle w:val="Strong"/>
                <w:rFonts w:eastAsiaTheme="majorEastAsia"/>
              </w:rPr>
              <w:t>73% reduction</w:t>
            </w:r>
            <w:r>
              <w:t>)</w:t>
            </w:r>
          </w:p>
        </w:tc>
        <w:tc>
          <w:tcPr>
            <w:tcW w:w="0" w:type="auto"/>
            <w:vAlign w:val="center"/>
            <w:hideMark/>
          </w:tcPr>
          <w:p w14:paraId="1D9506F5" w14:textId="77777777" w:rsidR="00DD189B" w:rsidRDefault="00DD189B">
            <w:r>
              <w:t xml:space="preserve">Well tolerated; </w:t>
            </w:r>
            <w:r>
              <w:rPr>
                <w:rStyle w:val="Strong"/>
                <w:rFonts w:eastAsiaTheme="majorEastAsia"/>
              </w:rPr>
              <w:t>no serious adverse events</w:t>
            </w:r>
            <w:r>
              <w:t xml:space="preserve"> reported</w:t>
            </w:r>
          </w:p>
        </w:tc>
      </w:tr>
      <w:tr w:rsidR="00DD189B" w14:paraId="5716DFBF" w14:textId="77777777" w:rsidTr="00070189">
        <w:trPr>
          <w:tblCellSpacing w:w="15" w:type="dxa"/>
        </w:trPr>
        <w:tc>
          <w:tcPr>
            <w:tcW w:w="0" w:type="auto"/>
            <w:vAlign w:val="center"/>
            <w:hideMark/>
          </w:tcPr>
          <w:p w14:paraId="0D410136" w14:textId="77777777" w:rsidR="00DD189B" w:rsidRDefault="00DD189B">
            <w:r>
              <w:rPr>
                <w:rStyle w:val="Strong"/>
                <w:rFonts w:eastAsiaTheme="majorEastAsia"/>
              </w:rPr>
              <w:t>Brodie et al. (2020)</w:t>
            </w:r>
            <w:r>
              <w:t xml:space="preserve"> Retrospective cohort study</w:t>
            </w:r>
          </w:p>
        </w:tc>
        <w:tc>
          <w:tcPr>
            <w:tcW w:w="0" w:type="auto"/>
            <w:vAlign w:val="center"/>
            <w:hideMark/>
          </w:tcPr>
          <w:p w14:paraId="11D81EF4" w14:textId="77777777" w:rsidR="00DD189B" w:rsidRDefault="00DD189B">
            <w:r>
              <w:rPr>
                <w:rStyle w:val="Strong"/>
                <w:rFonts w:eastAsiaTheme="majorEastAsia"/>
              </w:rPr>
              <w:t>79 patients</w:t>
            </w:r>
          </w:p>
        </w:tc>
        <w:tc>
          <w:tcPr>
            <w:tcW w:w="0" w:type="auto"/>
            <w:vAlign w:val="center"/>
            <w:hideMark/>
          </w:tcPr>
          <w:p w14:paraId="2B28422C" w14:textId="77777777" w:rsidR="00DD189B" w:rsidRDefault="00DD189B">
            <w:r>
              <w:t>Uro-</w:t>
            </w:r>
            <w:proofErr w:type="spellStart"/>
            <w:r>
              <w:t>Vaxom</w:t>
            </w:r>
            <w:proofErr w:type="spellEnd"/>
            <w:r>
              <w:t xml:space="preserve"> (OM-89) oral immunotherapy</w:t>
            </w:r>
          </w:p>
        </w:tc>
        <w:tc>
          <w:tcPr>
            <w:tcW w:w="0" w:type="auto"/>
            <w:vAlign w:val="center"/>
            <w:hideMark/>
          </w:tcPr>
          <w:p w14:paraId="427F490F" w14:textId="77777777" w:rsidR="00DD189B" w:rsidRDefault="00DD189B">
            <w:r>
              <w:t>Baseline comparison</w:t>
            </w:r>
          </w:p>
        </w:tc>
        <w:tc>
          <w:tcPr>
            <w:tcW w:w="0" w:type="auto"/>
            <w:vAlign w:val="center"/>
            <w:hideMark/>
          </w:tcPr>
          <w:p w14:paraId="28228B55" w14:textId="77777777" w:rsidR="00DD189B" w:rsidRDefault="00DD189B">
            <w:r>
              <w:rPr>
                <w:rStyle w:val="Strong"/>
                <w:rFonts w:eastAsiaTheme="majorEastAsia"/>
              </w:rPr>
              <w:t>1 year before vs 1 year after treatment</w:t>
            </w:r>
          </w:p>
        </w:tc>
        <w:tc>
          <w:tcPr>
            <w:tcW w:w="0" w:type="auto"/>
            <w:vAlign w:val="center"/>
            <w:hideMark/>
          </w:tcPr>
          <w:p w14:paraId="50480F46" w14:textId="77777777" w:rsidR="00DD189B" w:rsidRDefault="00DD189B">
            <w:r>
              <w:t xml:space="preserve">Mean UTIs reduced from </w:t>
            </w:r>
            <w:r>
              <w:rPr>
                <w:rStyle w:val="Strong"/>
                <w:rFonts w:eastAsiaTheme="majorEastAsia"/>
              </w:rPr>
              <w:t>3.14 to 1.53 per year</w:t>
            </w:r>
            <w:r>
              <w:t xml:space="preserve"> (</w:t>
            </w:r>
            <w:r>
              <w:rPr>
                <w:rStyle w:val="Strong"/>
                <w:rFonts w:eastAsiaTheme="majorEastAsia"/>
              </w:rPr>
              <w:t>p &lt; 0.05</w:t>
            </w:r>
            <w:r>
              <w:t>)</w:t>
            </w:r>
          </w:p>
        </w:tc>
        <w:tc>
          <w:tcPr>
            <w:tcW w:w="0" w:type="auto"/>
            <w:vAlign w:val="center"/>
            <w:hideMark/>
          </w:tcPr>
          <w:p w14:paraId="777ED0A2" w14:textId="77777777" w:rsidR="00DD189B" w:rsidRDefault="00DD189B">
            <w:r>
              <w:t>No serious adverse events; treatment generally well tolerated</w:t>
            </w:r>
          </w:p>
        </w:tc>
      </w:tr>
    </w:tbl>
    <w:p w14:paraId="658134CC" w14:textId="77777777" w:rsidR="00D8030B" w:rsidRDefault="00D8030B" w:rsidP="004764B2"/>
    <w:p w14:paraId="68C668EF" w14:textId="0C2F1DBF" w:rsidR="00070189" w:rsidRDefault="00070189">
      <w:pPr>
        <w:spacing w:after="160" w:line="278" w:lineRule="auto"/>
      </w:pPr>
    </w:p>
    <w:p w14:paraId="0ABE2DB7" w14:textId="169EE511" w:rsidR="00D60098" w:rsidRDefault="00D60098" w:rsidP="00D60098">
      <w:r w:rsidRPr="00396E70">
        <w:t xml:space="preserve">Figure </w:t>
      </w:r>
      <w:r>
        <w:t>2. Validity Assessment of Included Studies</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677"/>
        <w:gridCol w:w="1008"/>
        <w:gridCol w:w="1243"/>
        <w:gridCol w:w="699"/>
        <w:gridCol w:w="971"/>
        <w:gridCol w:w="774"/>
        <w:gridCol w:w="905"/>
        <w:gridCol w:w="802"/>
        <w:gridCol w:w="774"/>
        <w:gridCol w:w="755"/>
        <w:gridCol w:w="742"/>
      </w:tblGrid>
      <w:tr w:rsidR="00070189" w14:paraId="396C0DBC" w14:textId="77777777" w:rsidTr="00070189">
        <w:trPr>
          <w:tblHeader/>
          <w:tblCellSpacing w:w="15" w:type="dxa"/>
        </w:trPr>
        <w:tc>
          <w:tcPr>
            <w:tcW w:w="0" w:type="auto"/>
            <w:vAlign w:val="center"/>
            <w:hideMark/>
          </w:tcPr>
          <w:p w14:paraId="54343331" w14:textId="77777777" w:rsidR="00070189" w:rsidRDefault="00070189">
            <w:pPr>
              <w:jc w:val="center"/>
              <w:rPr>
                <w:b/>
                <w:bCs/>
              </w:rPr>
            </w:pPr>
            <w:r>
              <w:rPr>
                <w:b/>
                <w:bCs/>
              </w:rPr>
              <w:t>Study</w:t>
            </w:r>
          </w:p>
        </w:tc>
        <w:tc>
          <w:tcPr>
            <w:tcW w:w="0" w:type="auto"/>
            <w:vAlign w:val="center"/>
            <w:hideMark/>
          </w:tcPr>
          <w:p w14:paraId="719CC467" w14:textId="77777777" w:rsidR="00070189" w:rsidRDefault="00070189">
            <w:pPr>
              <w:jc w:val="center"/>
              <w:rPr>
                <w:b/>
                <w:bCs/>
              </w:rPr>
            </w:pPr>
            <w:r>
              <w:rPr>
                <w:b/>
                <w:bCs/>
              </w:rPr>
              <w:t>Design</w:t>
            </w:r>
          </w:p>
        </w:tc>
        <w:tc>
          <w:tcPr>
            <w:tcW w:w="0" w:type="auto"/>
            <w:vAlign w:val="center"/>
            <w:hideMark/>
          </w:tcPr>
          <w:p w14:paraId="262788F3" w14:textId="77777777" w:rsidR="00070189" w:rsidRDefault="00070189">
            <w:pPr>
              <w:jc w:val="center"/>
              <w:rPr>
                <w:b/>
                <w:bCs/>
              </w:rPr>
            </w:pPr>
            <w:r>
              <w:rPr>
                <w:b/>
                <w:bCs/>
              </w:rPr>
              <w:t>Meaningful Clinical Endpoint</w:t>
            </w:r>
          </w:p>
        </w:tc>
        <w:tc>
          <w:tcPr>
            <w:tcW w:w="0" w:type="auto"/>
            <w:vAlign w:val="center"/>
            <w:hideMark/>
          </w:tcPr>
          <w:p w14:paraId="55BD8A8C" w14:textId="77777777" w:rsidR="00070189" w:rsidRDefault="00070189">
            <w:pPr>
              <w:jc w:val="center"/>
              <w:rPr>
                <w:b/>
                <w:bCs/>
              </w:rPr>
            </w:pPr>
            <w:r>
              <w:rPr>
                <w:b/>
                <w:bCs/>
              </w:rPr>
              <w:t>Blinding</w:t>
            </w:r>
          </w:p>
        </w:tc>
        <w:tc>
          <w:tcPr>
            <w:tcW w:w="0" w:type="auto"/>
            <w:vAlign w:val="center"/>
            <w:hideMark/>
          </w:tcPr>
          <w:p w14:paraId="63790682" w14:textId="77777777" w:rsidR="00070189" w:rsidRDefault="00070189">
            <w:pPr>
              <w:jc w:val="center"/>
              <w:rPr>
                <w:b/>
                <w:bCs/>
              </w:rPr>
            </w:pPr>
            <w:r>
              <w:rPr>
                <w:b/>
                <w:bCs/>
              </w:rPr>
              <w:t>Meaningful Comparison</w:t>
            </w:r>
          </w:p>
        </w:tc>
        <w:tc>
          <w:tcPr>
            <w:tcW w:w="0" w:type="auto"/>
            <w:vAlign w:val="center"/>
            <w:hideMark/>
          </w:tcPr>
          <w:p w14:paraId="34FB876A" w14:textId="77777777" w:rsidR="00070189" w:rsidRDefault="00070189">
            <w:pPr>
              <w:jc w:val="center"/>
              <w:rPr>
                <w:b/>
                <w:bCs/>
              </w:rPr>
            </w:pPr>
            <w:r>
              <w:rPr>
                <w:b/>
                <w:bCs/>
              </w:rPr>
              <w:t>Adequate Timeline</w:t>
            </w:r>
          </w:p>
        </w:tc>
        <w:tc>
          <w:tcPr>
            <w:tcW w:w="0" w:type="auto"/>
            <w:vAlign w:val="center"/>
            <w:hideMark/>
          </w:tcPr>
          <w:p w14:paraId="3086AD59" w14:textId="77777777" w:rsidR="00070189" w:rsidRDefault="00070189">
            <w:pPr>
              <w:jc w:val="center"/>
              <w:rPr>
                <w:b/>
                <w:bCs/>
              </w:rPr>
            </w:pPr>
            <w:r>
              <w:rPr>
                <w:b/>
                <w:bCs/>
              </w:rPr>
              <w:t>Patient Accounting</w:t>
            </w:r>
          </w:p>
        </w:tc>
        <w:tc>
          <w:tcPr>
            <w:tcW w:w="0" w:type="auto"/>
            <w:vAlign w:val="center"/>
            <w:hideMark/>
          </w:tcPr>
          <w:p w14:paraId="39B4FFE1" w14:textId="77777777" w:rsidR="00070189" w:rsidRDefault="00070189">
            <w:pPr>
              <w:jc w:val="center"/>
              <w:rPr>
                <w:b/>
                <w:bCs/>
              </w:rPr>
            </w:pPr>
            <w:r>
              <w:rPr>
                <w:b/>
                <w:bCs/>
              </w:rPr>
              <w:t>Intention-to-Treat</w:t>
            </w:r>
          </w:p>
        </w:tc>
        <w:tc>
          <w:tcPr>
            <w:tcW w:w="0" w:type="auto"/>
            <w:vAlign w:val="center"/>
            <w:hideMark/>
          </w:tcPr>
          <w:p w14:paraId="6FC93EB1" w14:textId="77777777" w:rsidR="00070189" w:rsidRDefault="00070189">
            <w:pPr>
              <w:jc w:val="center"/>
              <w:rPr>
                <w:b/>
                <w:bCs/>
              </w:rPr>
            </w:pPr>
            <w:r>
              <w:rPr>
                <w:b/>
                <w:bCs/>
              </w:rPr>
              <w:t>Power Adequate</w:t>
            </w:r>
          </w:p>
        </w:tc>
        <w:tc>
          <w:tcPr>
            <w:tcW w:w="0" w:type="auto"/>
            <w:vAlign w:val="center"/>
            <w:hideMark/>
          </w:tcPr>
          <w:p w14:paraId="1676F1FB" w14:textId="77777777" w:rsidR="00070189" w:rsidRDefault="00070189">
            <w:pPr>
              <w:jc w:val="center"/>
              <w:rPr>
                <w:b/>
                <w:bCs/>
              </w:rPr>
            </w:pPr>
            <w:r>
              <w:rPr>
                <w:b/>
                <w:bCs/>
              </w:rPr>
              <w:t>Safety Reported</w:t>
            </w:r>
          </w:p>
        </w:tc>
        <w:tc>
          <w:tcPr>
            <w:tcW w:w="0" w:type="auto"/>
            <w:vAlign w:val="center"/>
            <w:hideMark/>
          </w:tcPr>
          <w:p w14:paraId="6C2DF064" w14:textId="77777777" w:rsidR="00070189" w:rsidRDefault="00070189">
            <w:pPr>
              <w:jc w:val="center"/>
              <w:rPr>
                <w:b/>
                <w:bCs/>
              </w:rPr>
            </w:pPr>
            <w:r>
              <w:rPr>
                <w:b/>
                <w:bCs/>
              </w:rPr>
              <w:t>Grade</w:t>
            </w:r>
          </w:p>
        </w:tc>
      </w:tr>
      <w:tr w:rsidR="00070189" w14:paraId="3B3426C5" w14:textId="77777777" w:rsidTr="00070189">
        <w:trPr>
          <w:tblCellSpacing w:w="15" w:type="dxa"/>
        </w:trPr>
        <w:tc>
          <w:tcPr>
            <w:tcW w:w="0" w:type="auto"/>
            <w:vAlign w:val="center"/>
            <w:hideMark/>
          </w:tcPr>
          <w:p w14:paraId="0157C43C" w14:textId="77777777" w:rsidR="00070189" w:rsidRDefault="00070189">
            <w:r>
              <w:rPr>
                <w:rStyle w:val="Strong"/>
                <w:rFonts w:eastAsiaTheme="majorEastAsia"/>
              </w:rPr>
              <w:t>Huttner et al.</w:t>
            </w:r>
          </w:p>
        </w:tc>
        <w:tc>
          <w:tcPr>
            <w:tcW w:w="0" w:type="auto"/>
            <w:vAlign w:val="center"/>
            <w:hideMark/>
          </w:tcPr>
          <w:p w14:paraId="1F0FEA98" w14:textId="77777777" w:rsidR="00070189" w:rsidRDefault="00070189">
            <w:r>
              <w:t>Phase 1b RCT</w:t>
            </w:r>
          </w:p>
        </w:tc>
        <w:tc>
          <w:tcPr>
            <w:tcW w:w="0" w:type="auto"/>
            <w:vAlign w:val="center"/>
            <w:hideMark/>
          </w:tcPr>
          <w:p w14:paraId="40A796EC" w14:textId="77777777" w:rsidR="00070189" w:rsidRDefault="00070189">
            <w:r>
              <w:t xml:space="preserve">N (immunogenicity </w:t>
            </w:r>
            <w:r>
              <w:lastRenderedPageBreak/>
              <w:t>primary outcome)</w:t>
            </w:r>
          </w:p>
        </w:tc>
        <w:tc>
          <w:tcPr>
            <w:tcW w:w="0" w:type="auto"/>
            <w:vAlign w:val="center"/>
            <w:hideMark/>
          </w:tcPr>
          <w:p w14:paraId="7855A892" w14:textId="77777777" w:rsidR="00070189" w:rsidRDefault="00070189">
            <w:r>
              <w:lastRenderedPageBreak/>
              <w:t>A (singl</w:t>
            </w:r>
            <w:r>
              <w:lastRenderedPageBreak/>
              <w:t>e-blind)</w:t>
            </w:r>
          </w:p>
        </w:tc>
        <w:tc>
          <w:tcPr>
            <w:tcW w:w="0" w:type="auto"/>
            <w:vAlign w:val="center"/>
            <w:hideMark/>
          </w:tcPr>
          <w:p w14:paraId="0930E08E" w14:textId="77777777" w:rsidR="00070189" w:rsidRDefault="00070189">
            <w:r>
              <w:lastRenderedPageBreak/>
              <w:t>A (placebo)</w:t>
            </w:r>
          </w:p>
        </w:tc>
        <w:tc>
          <w:tcPr>
            <w:tcW w:w="0" w:type="auto"/>
            <w:vAlign w:val="center"/>
            <w:hideMark/>
          </w:tcPr>
          <w:p w14:paraId="33235046" w14:textId="77777777" w:rsidR="00070189" w:rsidRDefault="00070189">
            <w:r>
              <w:t>A</w:t>
            </w:r>
          </w:p>
        </w:tc>
        <w:tc>
          <w:tcPr>
            <w:tcW w:w="0" w:type="auto"/>
            <w:vAlign w:val="center"/>
            <w:hideMark/>
          </w:tcPr>
          <w:p w14:paraId="6CCB591B" w14:textId="77777777" w:rsidR="00070189" w:rsidRDefault="00070189">
            <w:r>
              <w:t>A</w:t>
            </w:r>
          </w:p>
        </w:tc>
        <w:tc>
          <w:tcPr>
            <w:tcW w:w="0" w:type="auto"/>
            <w:vAlign w:val="center"/>
            <w:hideMark/>
          </w:tcPr>
          <w:p w14:paraId="50264C2E" w14:textId="77777777" w:rsidR="00070189" w:rsidRDefault="00070189">
            <w:r>
              <w:t>A</w:t>
            </w:r>
          </w:p>
        </w:tc>
        <w:tc>
          <w:tcPr>
            <w:tcW w:w="0" w:type="auto"/>
            <w:vAlign w:val="center"/>
            <w:hideMark/>
          </w:tcPr>
          <w:p w14:paraId="684565C9" w14:textId="77777777" w:rsidR="00070189" w:rsidRDefault="00070189">
            <w:r>
              <w:t>M</w:t>
            </w:r>
          </w:p>
        </w:tc>
        <w:tc>
          <w:tcPr>
            <w:tcW w:w="0" w:type="auto"/>
            <w:vAlign w:val="center"/>
            <w:hideMark/>
          </w:tcPr>
          <w:p w14:paraId="495ED17F" w14:textId="77777777" w:rsidR="00070189" w:rsidRDefault="00070189">
            <w:r>
              <w:t>A</w:t>
            </w:r>
          </w:p>
        </w:tc>
        <w:tc>
          <w:tcPr>
            <w:tcW w:w="0" w:type="auto"/>
            <w:vAlign w:val="center"/>
            <w:hideMark/>
          </w:tcPr>
          <w:p w14:paraId="5597CA2E" w14:textId="77777777" w:rsidR="00070189" w:rsidRDefault="00070189">
            <w:r>
              <w:t>Moderate</w:t>
            </w:r>
          </w:p>
        </w:tc>
      </w:tr>
      <w:tr w:rsidR="00070189" w14:paraId="73B770A2" w14:textId="77777777" w:rsidTr="00070189">
        <w:trPr>
          <w:tblCellSpacing w:w="15" w:type="dxa"/>
        </w:trPr>
        <w:tc>
          <w:tcPr>
            <w:tcW w:w="0" w:type="auto"/>
            <w:vAlign w:val="center"/>
            <w:hideMark/>
          </w:tcPr>
          <w:p w14:paraId="5AC02829" w14:textId="77777777" w:rsidR="00070189" w:rsidRDefault="00070189">
            <w:r>
              <w:rPr>
                <w:rStyle w:val="Strong"/>
                <w:rFonts w:eastAsiaTheme="majorEastAsia"/>
              </w:rPr>
              <w:t>Lopes et al.</w:t>
            </w:r>
          </w:p>
        </w:tc>
        <w:tc>
          <w:tcPr>
            <w:tcW w:w="0" w:type="auto"/>
            <w:vAlign w:val="center"/>
            <w:hideMark/>
          </w:tcPr>
          <w:p w14:paraId="18D18982" w14:textId="77777777" w:rsidR="00070189" w:rsidRDefault="00070189">
            <w:r>
              <w:t>Prospective observational</w:t>
            </w:r>
          </w:p>
        </w:tc>
        <w:tc>
          <w:tcPr>
            <w:tcW w:w="0" w:type="auto"/>
            <w:vAlign w:val="center"/>
            <w:hideMark/>
          </w:tcPr>
          <w:p w14:paraId="3995072F" w14:textId="77777777" w:rsidR="00070189" w:rsidRDefault="00070189">
            <w:r>
              <w:t>Y (UTI recurrence reduction)</w:t>
            </w:r>
          </w:p>
        </w:tc>
        <w:tc>
          <w:tcPr>
            <w:tcW w:w="0" w:type="auto"/>
            <w:vAlign w:val="center"/>
            <w:hideMark/>
          </w:tcPr>
          <w:p w14:paraId="25417071" w14:textId="77777777" w:rsidR="00070189" w:rsidRDefault="00070189">
            <w:r>
              <w:t>I</w:t>
            </w:r>
          </w:p>
        </w:tc>
        <w:tc>
          <w:tcPr>
            <w:tcW w:w="0" w:type="auto"/>
            <w:vAlign w:val="center"/>
            <w:hideMark/>
          </w:tcPr>
          <w:p w14:paraId="5A8354C6" w14:textId="77777777" w:rsidR="00070189" w:rsidRDefault="00070189">
            <w:r>
              <w:t>M (baseline comparison)</w:t>
            </w:r>
          </w:p>
        </w:tc>
        <w:tc>
          <w:tcPr>
            <w:tcW w:w="0" w:type="auto"/>
            <w:vAlign w:val="center"/>
            <w:hideMark/>
          </w:tcPr>
          <w:p w14:paraId="7B5812D5" w14:textId="77777777" w:rsidR="00070189" w:rsidRDefault="00070189">
            <w:r>
              <w:t>A</w:t>
            </w:r>
          </w:p>
        </w:tc>
        <w:tc>
          <w:tcPr>
            <w:tcW w:w="0" w:type="auto"/>
            <w:vAlign w:val="center"/>
            <w:hideMark/>
          </w:tcPr>
          <w:p w14:paraId="7CD76C96" w14:textId="77777777" w:rsidR="00070189" w:rsidRDefault="00070189">
            <w:r>
              <w:t>M</w:t>
            </w:r>
          </w:p>
        </w:tc>
        <w:tc>
          <w:tcPr>
            <w:tcW w:w="0" w:type="auto"/>
            <w:vAlign w:val="center"/>
            <w:hideMark/>
          </w:tcPr>
          <w:p w14:paraId="6F6DB664" w14:textId="77777777" w:rsidR="00070189" w:rsidRDefault="00070189">
            <w:r>
              <w:t>I</w:t>
            </w:r>
          </w:p>
        </w:tc>
        <w:tc>
          <w:tcPr>
            <w:tcW w:w="0" w:type="auto"/>
            <w:vAlign w:val="center"/>
            <w:hideMark/>
          </w:tcPr>
          <w:p w14:paraId="5EFB1CED" w14:textId="77777777" w:rsidR="00070189" w:rsidRDefault="00070189">
            <w:r>
              <w:t>I</w:t>
            </w:r>
          </w:p>
        </w:tc>
        <w:tc>
          <w:tcPr>
            <w:tcW w:w="0" w:type="auto"/>
            <w:vAlign w:val="center"/>
            <w:hideMark/>
          </w:tcPr>
          <w:p w14:paraId="6291A103" w14:textId="77777777" w:rsidR="00070189" w:rsidRDefault="00070189">
            <w:r>
              <w:t>A</w:t>
            </w:r>
          </w:p>
        </w:tc>
        <w:tc>
          <w:tcPr>
            <w:tcW w:w="0" w:type="auto"/>
            <w:vAlign w:val="center"/>
            <w:hideMark/>
          </w:tcPr>
          <w:p w14:paraId="07DAE608" w14:textId="77777777" w:rsidR="00070189" w:rsidRDefault="00070189">
            <w:r>
              <w:t>Low</w:t>
            </w:r>
          </w:p>
        </w:tc>
      </w:tr>
      <w:tr w:rsidR="00070189" w14:paraId="1996FB78" w14:textId="77777777" w:rsidTr="00070189">
        <w:trPr>
          <w:tblCellSpacing w:w="15" w:type="dxa"/>
        </w:trPr>
        <w:tc>
          <w:tcPr>
            <w:tcW w:w="0" w:type="auto"/>
            <w:vAlign w:val="center"/>
            <w:hideMark/>
          </w:tcPr>
          <w:p w14:paraId="5F68EBBD" w14:textId="77777777" w:rsidR="00070189" w:rsidRDefault="00070189">
            <w:r>
              <w:rPr>
                <w:rStyle w:val="Strong"/>
                <w:rFonts w:eastAsiaTheme="majorEastAsia"/>
              </w:rPr>
              <w:t>Brodie et al.</w:t>
            </w:r>
          </w:p>
        </w:tc>
        <w:tc>
          <w:tcPr>
            <w:tcW w:w="0" w:type="auto"/>
            <w:vAlign w:val="center"/>
            <w:hideMark/>
          </w:tcPr>
          <w:p w14:paraId="57289949" w14:textId="77777777" w:rsidR="00070189" w:rsidRDefault="00070189">
            <w:r>
              <w:t>Retrospective cohort</w:t>
            </w:r>
          </w:p>
        </w:tc>
        <w:tc>
          <w:tcPr>
            <w:tcW w:w="0" w:type="auto"/>
            <w:vAlign w:val="center"/>
            <w:hideMark/>
          </w:tcPr>
          <w:p w14:paraId="4B8D6760" w14:textId="77777777" w:rsidR="00070189" w:rsidRDefault="00070189">
            <w:r>
              <w:t>Y</w:t>
            </w:r>
          </w:p>
        </w:tc>
        <w:tc>
          <w:tcPr>
            <w:tcW w:w="0" w:type="auto"/>
            <w:vAlign w:val="center"/>
            <w:hideMark/>
          </w:tcPr>
          <w:p w14:paraId="0AC3B042" w14:textId="77777777" w:rsidR="00070189" w:rsidRDefault="00070189">
            <w:r>
              <w:t>I</w:t>
            </w:r>
          </w:p>
        </w:tc>
        <w:tc>
          <w:tcPr>
            <w:tcW w:w="0" w:type="auto"/>
            <w:vAlign w:val="center"/>
            <w:hideMark/>
          </w:tcPr>
          <w:p w14:paraId="104D9A6A" w14:textId="77777777" w:rsidR="00070189" w:rsidRDefault="00070189">
            <w:r>
              <w:t>M</w:t>
            </w:r>
          </w:p>
        </w:tc>
        <w:tc>
          <w:tcPr>
            <w:tcW w:w="0" w:type="auto"/>
            <w:vAlign w:val="center"/>
            <w:hideMark/>
          </w:tcPr>
          <w:p w14:paraId="0C297E19" w14:textId="77777777" w:rsidR="00070189" w:rsidRDefault="00070189">
            <w:r>
              <w:t>A</w:t>
            </w:r>
          </w:p>
        </w:tc>
        <w:tc>
          <w:tcPr>
            <w:tcW w:w="0" w:type="auto"/>
            <w:vAlign w:val="center"/>
            <w:hideMark/>
          </w:tcPr>
          <w:p w14:paraId="2ED7314B" w14:textId="77777777" w:rsidR="00070189" w:rsidRDefault="00070189">
            <w:r>
              <w:t>M</w:t>
            </w:r>
          </w:p>
        </w:tc>
        <w:tc>
          <w:tcPr>
            <w:tcW w:w="0" w:type="auto"/>
            <w:vAlign w:val="center"/>
            <w:hideMark/>
          </w:tcPr>
          <w:p w14:paraId="108AC42B" w14:textId="77777777" w:rsidR="00070189" w:rsidRDefault="00070189">
            <w:r>
              <w:t>I</w:t>
            </w:r>
          </w:p>
        </w:tc>
        <w:tc>
          <w:tcPr>
            <w:tcW w:w="0" w:type="auto"/>
            <w:vAlign w:val="center"/>
            <w:hideMark/>
          </w:tcPr>
          <w:p w14:paraId="369468C2" w14:textId="77777777" w:rsidR="00070189" w:rsidRDefault="00070189">
            <w:r>
              <w:t>I</w:t>
            </w:r>
          </w:p>
        </w:tc>
        <w:tc>
          <w:tcPr>
            <w:tcW w:w="0" w:type="auto"/>
            <w:vAlign w:val="center"/>
            <w:hideMark/>
          </w:tcPr>
          <w:p w14:paraId="7683AAB9" w14:textId="77777777" w:rsidR="00070189" w:rsidRDefault="00070189">
            <w:r>
              <w:t>A</w:t>
            </w:r>
          </w:p>
        </w:tc>
        <w:tc>
          <w:tcPr>
            <w:tcW w:w="0" w:type="auto"/>
            <w:vAlign w:val="center"/>
            <w:hideMark/>
          </w:tcPr>
          <w:p w14:paraId="343969A7" w14:textId="77777777" w:rsidR="00070189" w:rsidRDefault="00070189">
            <w:r>
              <w:t>Low</w:t>
            </w:r>
          </w:p>
        </w:tc>
      </w:tr>
    </w:tbl>
    <w:p w14:paraId="0DCBEC72" w14:textId="77777777" w:rsidR="00070189" w:rsidRDefault="00070189" w:rsidP="00D60098"/>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2948"/>
      </w:tblGrid>
      <w:tr w:rsidR="00841C10" w:rsidRPr="00396E70" w14:paraId="05461EE6" w14:textId="77777777" w:rsidTr="009D7A25">
        <w:trPr>
          <w:tblHeader/>
          <w:tblCellSpacing w:w="15" w:type="dxa"/>
        </w:trPr>
        <w:tc>
          <w:tcPr>
            <w:tcW w:w="0" w:type="auto"/>
            <w:vAlign w:val="center"/>
            <w:hideMark/>
          </w:tcPr>
          <w:p w14:paraId="6A219153" w14:textId="77777777" w:rsidR="00841C10" w:rsidRPr="00396E70" w:rsidRDefault="00841C10" w:rsidP="009D7A25">
            <w:pPr>
              <w:jc w:val="center"/>
              <w:rPr>
                <w:b/>
                <w:bCs/>
              </w:rPr>
            </w:pPr>
            <w:r w:rsidRPr="00396E70">
              <w:rPr>
                <w:b/>
                <w:bCs/>
              </w:rPr>
              <w:t>Symbol</w:t>
            </w:r>
          </w:p>
        </w:tc>
        <w:tc>
          <w:tcPr>
            <w:tcW w:w="0" w:type="auto"/>
            <w:vAlign w:val="center"/>
            <w:hideMark/>
          </w:tcPr>
          <w:p w14:paraId="24D11CAF" w14:textId="77777777" w:rsidR="00841C10" w:rsidRPr="00396E70" w:rsidRDefault="00841C10" w:rsidP="009D7A25">
            <w:pPr>
              <w:jc w:val="center"/>
              <w:rPr>
                <w:b/>
                <w:bCs/>
              </w:rPr>
            </w:pPr>
            <w:r w:rsidRPr="00396E70">
              <w:rPr>
                <w:b/>
                <w:bCs/>
              </w:rPr>
              <w:t>Meaning</w:t>
            </w:r>
          </w:p>
        </w:tc>
      </w:tr>
      <w:tr w:rsidR="00841C10" w:rsidRPr="00396E70" w14:paraId="771550BE" w14:textId="77777777" w:rsidTr="009D7A25">
        <w:trPr>
          <w:tblCellSpacing w:w="15" w:type="dxa"/>
        </w:trPr>
        <w:tc>
          <w:tcPr>
            <w:tcW w:w="0" w:type="auto"/>
            <w:vAlign w:val="center"/>
            <w:hideMark/>
          </w:tcPr>
          <w:p w14:paraId="6E1C0F4E" w14:textId="77777777" w:rsidR="00841C10" w:rsidRPr="00396E70" w:rsidRDefault="00841C10" w:rsidP="009D7A25">
            <w:r w:rsidRPr="00396E70">
              <w:rPr>
                <w:b/>
                <w:bCs/>
              </w:rPr>
              <w:t>Y</w:t>
            </w:r>
          </w:p>
        </w:tc>
        <w:tc>
          <w:tcPr>
            <w:tcW w:w="0" w:type="auto"/>
            <w:vAlign w:val="center"/>
            <w:hideMark/>
          </w:tcPr>
          <w:p w14:paraId="4584148D" w14:textId="77777777" w:rsidR="00841C10" w:rsidRPr="00396E70" w:rsidRDefault="00841C10" w:rsidP="009D7A25">
            <w:r w:rsidRPr="00396E70">
              <w:t>Yes / Present</w:t>
            </w:r>
          </w:p>
        </w:tc>
      </w:tr>
      <w:tr w:rsidR="00841C10" w:rsidRPr="00396E70" w14:paraId="0765E6C5" w14:textId="77777777" w:rsidTr="009D7A25">
        <w:trPr>
          <w:tblCellSpacing w:w="15" w:type="dxa"/>
        </w:trPr>
        <w:tc>
          <w:tcPr>
            <w:tcW w:w="0" w:type="auto"/>
            <w:vAlign w:val="center"/>
            <w:hideMark/>
          </w:tcPr>
          <w:p w14:paraId="07C77BF8" w14:textId="77777777" w:rsidR="00841C10" w:rsidRPr="00396E70" w:rsidRDefault="00841C10" w:rsidP="009D7A25">
            <w:r w:rsidRPr="00396E70">
              <w:rPr>
                <w:b/>
                <w:bCs/>
              </w:rPr>
              <w:t>A</w:t>
            </w:r>
          </w:p>
        </w:tc>
        <w:tc>
          <w:tcPr>
            <w:tcW w:w="0" w:type="auto"/>
            <w:vAlign w:val="center"/>
            <w:hideMark/>
          </w:tcPr>
          <w:p w14:paraId="0AEB7EA3" w14:textId="77777777" w:rsidR="00841C10" w:rsidRPr="00396E70" w:rsidRDefault="00841C10" w:rsidP="009D7A25">
            <w:r w:rsidRPr="00396E70">
              <w:t>Adequate</w:t>
            </w:r>
          </w:p>
        </w:tc>
      </w:tr>
      <w:tr w:rsidR="00841C10" w:rsidRPr="00396E70" w14:paraId="0A945543" w14:textId="77777777" w:rsidTr="009D7A25">
        <w:trPr>
          <w:tblCellSpacing w:w="15" w:type="dxa"/>
        </w:trPr>
        <w:tc>
          <w:tcPr>
            <w:tcW w:w="0" w:type="auto"/>
            <w:vAlign w:val="center"/>
            <w:hideMark/>
          </w:tcPr>
          <w:p w14:paraId="6B52C5D7" w14:textId="77777777" w:rsidR="00841C10" w:rsidRPr="00396E70" w:rsidRDefault="00841C10" w:rsidP="009D7A25">
            <w:r w:rsidRPr="00396E70">
              <w:rPr>
                <w:b/>
                <w:bCs/>
              </w:rPr>
              <w:t>M</w:t>
            </w:r>
          </w:p>
        </w:tc>
        <w:tc>
          <w:tcPr>
            <w:tcW w:w="0" w:type="auto"/>
            <w:vAlign w:val="center"/>
            <w:hideMark/>
          </w:tcPr>
          <w:p w14:paraId="617CC4BC" w14:textId="77777777" w:rsidR="00841C10" w:rsidRPr="00396E70" w:rsidRDefault="00841C10" w:rsidP="009D7A25">
            <w:r w:rsidRPr="00396E70">
              <w:t>Marginal</w:t>
            </w:r>
          </w:p>
        </w:tc>
      </w:tr>
      <w:tr w:rsidR="00841C10" w:rsidRPr="00396E70" w14:paraId="11401FC3" w14:textId="77777777" w:rsidTr="009D7A25">
        <w:trPr>
          <w:tblCellSpacing w:w="15" w:type="dxa"/>
        </w:trPr>
        <w:tc>
          <w:tcPr>
            <w:tcW w:w="0" w:type="auto"/>
            <w:vAlign w:val="center"/>
            <w:hideMark/>
          </w:tcPr>
          <w:p w14:paraId="7797B391" w14:textId="77777777" w:rsidR="00841C10" w:rsidRPr="00396E70" w:rsidRDefault="00841C10" w:rsidP="009D7A25">
            <w:r w:rsidRPr="00396E70">
              <w:rPr>
                <w:b/>
                <w:bCs/>
              </w:rPr>
              <w:t>I</w:t>
            </w:r>
          </w:p>
        </w:tc>
        <w:tc>
          <w:tcPr>
            <w:tcW w:w="0" w:type="auto"/>
            <w:vAlign w:val="center"/>
            <w:hideMark/>
          </w:tcPr>
          <w:p w14:paraId="11D0C5C7" w14:textId="77777777" w:rsidR="00841C10" w:rsidRPr="00396E70" w:rsidRDefault="00841C10" w:rsidP="009D7A25">
            <w:r w:rsidRPr="00396E70">
              <w:t>Inadequate or Not Reported</w:t>
            </w:r>
          </w:p>
        </w:tc>
      </w:tr>
      <w:tr w:rsidR="00841C10" w:rsidRPr="00396E70" w14:paraId="4A5C2DC8" w14:textId="77777777" w:rsidTr="009D7A25">
        <w:trPr>
          <w:tblCellSpacing w:w="15" w:type="dxa"/>
        </w:trPr>
        <w:tc>
          <w:tcPr>
            <w:tcW w:w="0" w:type="auto"/>
            <w:vAlign w:val="center"/>
            <w:hideMark/>
          </w:tcPr>
          <w:p w14:paraId="640F45B8" w14:textId="77777777" w:rsidR="00841C10" w:rsidRPr="00396E70" w:rsidRDefault="00841C10" w:rsidP="009D7A25">
            <w:r w:rsidRPr="00396E70">
              <w:rPr>
                <w:b/>
                <w:bCs/>
              </w:rPr>
              <w:t>N</w:t>
            </w:r>
          </w:p>
        </w:tc>
        <w:tc>
          <w:tcPr>
            <w:tcW w:w="0" w:type="auto"/>
            <w:vAlign w:val="center"/>
            <w:hideMark/>
          </w:tcPr>
          <w:p w14:paraId="38F2816E" w14:textId="77777777" w:rsidR="00841C10" w:rsidRPr="00396E70" w:rsidRDefault="00841C10" w:rsidP="009D7A25">
            <w:r w:rsidRPr="00396E70">
              <w:t>Not applicable or not primary</w:t>
            </w:r>
          </w:p>
        </w:tc>
      </w:tr>
    </w:tbl>
    <w:p w14:paraId="1979A0FC" w14:textId="77777777" w:rsidR="00841C10" w:rsidRDefault="00841C10" w:rsidP="00D60098"/>
    <w:p w14:paraId="4558E038" w14:textId="0694DB7B" w:rsidR="00841C10" w:rsidRDefault="00841C10">
      <w:pPr>
        <w:spacing w:after="160" w:line="278" w:lineRule="auto"/>
      </w:pPr>
    </w:p>
    <w:p w14:paraId="3AF8277B" w14:textId="77777777" w:rsidR="00D349DF" w:rsidRDefault="00D349DF">
      <w:pPr>
        <w:spacing w:after="160" w:line="278" w:lineRule="auto"/>
      </w:pPr>
    </w:p>
    <w:p w14:paraId="2BEB4A5C" w14:textId="031B31F9" w:rsidR="00841C10" w:rsidRDefault="00E20E2A">
      <w:r>
        <w:t>Figure 3. Compiled Study Results: UTI Vaccines vs Standard Care/Baseline</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008"/>
        <w:gridCol w:w="2062"/>
        <w:gridCol w:w="1648"/>
        <w:gridCol w:w="1636"/>
        <w:gridCol w:w="1389"/>
        <w:gridCol w:w="1607"/>
      </w:tblGrid>
      <w:tr w:rsidR="00841C10" w14:paraId="5BE475B1" w14:textId="77777777" w:rsidTr="00841C10">
        <w:trPr>
          <w:tblHeader/>
          <w:tblCellSpacing w:w="15" w:type="dxa"/>
        </w:trPr>
        <w:tc>
          <w:tcPr>
            <w:tcW w:w="0" w:type="auto"/>
            <w:vAlign w:val="center"/>
            <w:hideMark/>
          </w:tcPr>
          <w:p w14:paraId="2CA42FF1" w14:textId="77777777" w:rsidR="00841C10" w:rsidRDefault="00841C10">
            <w:pPr>
              <w:jc w:val="center"/>
              <w:rPr>
                <w:b/>
                <w:bCs/>
              </w:rPr>
            </w:pPr>
            <w:r>
              <w:rPr>
                <w:b/>
                <w:bCs/>
              </w:rPr>
              <w:t>Study</w:t>
            </w:r>
          </w:p>
        </w:tc>
        <w:tc>
          <w:tcPr>
            <w:tcW w:w="0" w:type="auto"/>
            <w:vAlign w:val="center"/>
            <w:hideMark/>
          </w:tcPr>
          <w:p w14:paraId="31CFF7E2" w14:textId="77777777" w:rsidR="00841C10" w:rsidRDefault="00841C10">
            <w:pPr>
              <w:jc w:val="center"/>
              <w:rPr>
                <w:b/>
                <w:bCs/>
              </w:rPr>
            </w:pPr>
            <w:r>
              <w:rPr>
                <w:b/>
                <w:bCs/>
              </w:rPr>
              <w:t>UTI Recurrence (Total)</w:t>
            </w:r>
          </w:p>
        </w:tc>
        <w:tc>
          <w:tcPr>
            <w:tcW w:w="0" w:type="auto"/>
            <w:vAlign w:val="center"/>
            <w:hideMark/>
          </w:tcPr>
          <w:p w14:paraId="12656FF2" w14:textId="77777777" w:rsidR="00841C10" w:rsidRDefault="00841C10">
            <w:pPr>
              <w:jc w:val="center"/>
              <w:rPr>
                <w:b/>
                <w:bCs/>
              </w:rPr>
            </w:pPr>
            <w:r>
              <w:rPr>
                <w:b/>
                <w:bCs/>
              </w:rPr>
              <w:t>Time to First Recurrence</w:t>
            </w:r>
          </w:p>
        </w:tc>
        <w:tc>
          <w:tcPr>
            <w:tcW w:w="0" w:type="auto"/>
            <w:vAlign w:val="center"/>
            <w:hideMark/>
          </w:tcPr>
          <w:p w14:paraId="58845E65" w14:textId="77777777" w:rsidR="00841C10" w:rsidRDefault="00841C10">
            <w:pPr>
              <w:jc w:val="center"/>
              <w:rPr>
                <w:b/>
                <w:bCs/>
              </w:rPr>
            </w:pPr>
            <w:r>
              <w:rPr>
                <w:b/>
                <w:bCs/>
              </w:rPr>
              <w:t>Antibiotic Use</w:t>
            </w:r>
          </w:p>
        </w:tc>
        <w:tc>
          <w:tcPr>
            <w:tcW w:w="0" w:type="auto"/>
            <w:vAlign w:val="center"/>
            <w:hideMark/>
          </w:tcPr>
          <w:p w14:paraId="69262D78" w14:textId="77777777" w:rsidR="00841C10" w:rsidRDefault="00841C10">
            <w:pPr>
              <w:jc w:val="center"/>
              <w:rPr>
                <w:b/>
                <w:bCs/>
              </w:rPr>
            </w:pPr>
            <w:r>
              <w:rPr>
                <w:b/>
                <w:bCs/>
              </w:rPr>
              <w:t>Healthcare Utilization</w:t>
            </w:r>
          </w:p>
        </w:tc>
        <w:tc>
          <w:tcPr>
            <w:tcW w:w="0" w:type="auto"/>
            <w:vAlign w:val="center"/>
            <w:hideMark/>
          </w:tcPr>
          <w:p w14:paraId="78AB3A32" w14:textId="77777777" w:rsidR="00841C10" w:rsidRDefault="00841C10">
            <w:pPr>
              <w:jc w:val="center"/>
              <w:rPr>
                <w:b/>
                <w:bCs/>
              </w:rPr>
            </w:pPr>
            <w:r>
              <w:rPr>
                <w:b/>
                <w:bCs/>
              </w:rPr>
              <w:t>Harm / Safety</w:t>
            </w:r>
          </w:p>
        </w:tc>
      </w:tr>
      <w:tr w:rsidR="00841C10" w14:paraId="341AE89D" w14:textId="77777777" w:rsidTr="00841C10">
        <w:trPr>
          <w:tblCellSpacing w:w="15" w:type="dxa"/>
        </w:trPr>
        <w:tc>
          <w:tcPr>
            <w:tcW w:w="0" w:type="auto"/>
            <w:vAlign w:val="center"/>
            <w:hideMark/>
          </w:tcPr>
          <w:p w14:paraId="6683E5EF" w14:textId="77777777" w:rsidR="00841C10" w:rsidRDefault="00841C10">
            <w:r>
              <w:rPr>
                <w:rStyle w:val="Strong"/>
                <w:rFonts w:eastAsiaTheme="majorEastAsia"/>
              </w:rPr>
              <w:t>Huttner et al.</w:t>
            </w:r>
          </w:p>
        </w:tc>
        <w:tc>
          <w:tcPr>
            <w:tcW w:w="0" w:type="auto"/>
            <w:vAlign w:val="center"/>
            <w:hideMark/>
          </w:tcPr>
          <w:p w14:paraId="6D18EB78" w14:textId="77777777" w:rsidR="00841C10" w:rsidRDefault="00841C10">
            <w:r>
              <w:t xml:space="preserve">Exploratory analyses suggested </w:t>
            </w:r>
            <w:r>
              <w:rPr>
                <w:rStyle w:val="Strong"/>
                <w:rFonts w:eastAsiaTheme="majorEastAsia"/>
              </w:rPr>
              <w:t>fewer UTIs in vaccinated group</w:t>
            </w:r>
          </w:p>
        </w:tc>
        <w:tc>
          <w:tcPr>
            <w:tcW w:w="0" w:type="auto"/>
            <w:vAlign w:val="center"/>
            <w:hideMark/>
          </w:tcPr>
          <w:p w14:paraId="700E5F24" w14:textId="77777777" w:rsidR="00841C10" w:rsidRDefault="00841C10">
            <w:r>
              <w:t>NR</w:t>
            </w:r>
          </w:p>
        </w:tc>
        <w:tc>
          <w:tcPr>
            <w:tcW w:w="0" w:type="auto"/>
            <w:vAlign w:val="center"/>
            <w:hideMark/>
          </w:tcPr>
          <w:p w14:paraId="7264CE5A" w14:textId="77777777" w:rsidR="00841C10" w:rsidRDefault="00841C10">
            <w:r>
              <w:t>NR</w:t>
            </w:r>
          </w:p>
        </w:tc>
        <w:tc>
          <w:tcPr>
            <w:tcW w:w="0" w:type="auto"/>
            <w:vAlign w:val="center"/>
            <w:hideMark/>
          </w:tcPr>
          <w:p w14:paraId="204D50A7" w14:textId="77777777" w:rsidR="00841C10" w:rsidRDefault="00841C10">
            <w:r>
              <w:t>NR</w:t>
            </w:r>
          </w:p>
        </w:tc>
        <w:tc>
          <w:tcPr>
            <w:tcW w:w="0" w:type="auto"/>
            <w:vAlign w:val="center"/>
            <w:hideMark/>
          </w:tcPr>
          <w:p w14:paraId="511BD72E" w14:textId="77777777" w:rsidR="00841C10" w:rsidRDefault="00841C10">
            <w:r>
              <w:rPr>
                <w:rStyle w:val="Strong"/>
                <w:rFonts w:eastAsiaTheme="majorEastAsia"/>
              </w:rPr>
              <w:t>NS – no vaccine-related serious adverse events</w:t>
            </w:r>
          </w:p>
        </w:tc>
      </w:tr>
      <w:tr w:rsidR="00841C10" w14:paraId="34154E84" w14:textId="77777777" w:rsidTr="00841C10">
        <w:trPr>
          <w:tblCellSpacing w:w="15" w:type="dxa"/>
        </w:trPr>
        <w:tc>
          <w:tcPr>
            <w:tcW w:w="0" w:type="auto"/>
            <w:vAlign w:val="center"/>
            <w:hideMark/>
          </w:tcPr>
          <w:p w14:paraId="075A8DE7" w14:textId="77777777" w:rsidR="00841C10" w:rsidRDefault="00841C10">
            <w:r>
              <w:rPr>
                <w:rStyle w:val="Strong"/>
                <w:rFonts w:eastAsiaTheme="majorEastAsia"/>
              </w:rPr>
              <w:t>Lopes et al.</w:t>
            </w:r>
          </w:p>
        </w:tc>
        <w:tc>
          <w:tcPr>
            <w:tcW w:w="0" w:type="auto"/>
            <w:vAlign w:val="center"/>
            <w:hideMark/>
          </w:tcPr>
          <w:p w14:paraId="3802999B" w14:textId="77777777" w:rsidR="00841C10" w:rsidRDefault="00841C10">
            <w:r>
              <w:rPr>
                <w:rStyle w:val="Strong"/>
                <w:rFonts w:eastAsiaTheme="majorEastAsia"/>
              </w:rPr>
              <w:t>S – UTIs reduced from 3.14 → 0.84/year (~73% reduction)</w:t>
            </w:r>
          </w:p>
        </w:tc>
        <w:tc>
          <w:tcPr>
            <w:tcW w:w="0" w:type="auto"/>
            <w:vAlign w:val="center"/>
            <w:hideMark/>
          </w:tcPr>
          <w:p w14:paraId="56CB9C1C" w14:textId="77777777" w:rsidR="00841C10" w:rsidRDefault="00841C10">
            <w:r>
              <w:t>S – longer time to recurrence reported</w:t>
            </w:r>
          </w:p>
        </w:tc>
        <w:tc>
          <w:tcPr>
            <w:tcW w:w="0" w:type="auto"/>
            <w:vAlign w:val="center"/>
            <w:hideMark/>
          </w:tcPr>
          <w:p w14:paraId="5C30BEFA" w14:textId="77777777" w:rsidR="00841C10" w:rsidRDefault="00841C10">
            <w:r>
              <w:rPr>
                <w:rStyle w:val="Strong"/>
                <w:rFonts w:eastAsiaTheme="majorEastAsia"/>
              </w:rPr>
              <w:t>S – decreased antibiotic use</w:t>
            </w:r>
          </w:p>
        </w:tc>
        <w:tc>
          <w:tcPr>
            <w:tcW w:w="0" w:type="auto"/>
            <w:vAlign w:val="center"/>
            <w:hideMark/>
          </w:tcPr>
          <w:p w14:paraId="551B70BC" w14:textId="77777777" w:rsidR="00841C10" w:rsidRDefault="00841C10">
            <w:r>
              <w:t>NR</w:t>
            </w:r>
          </w:p>
        </w:tc>
        <w:tc>
          <w:tcPr>
            <w:tcW w:w="0" w:type="auto"/>
            <w:vAlign w:val="center"/>
            <w:hideMark/>
          </w:tcPr>
          <w:p w14:paraId="18C0B610" w14:textId="77777777" w:rsidR="00841C10" w:rsidRDefault="00841C10">
            <w:r>
              <w:rPr>
                <w:rStyle w:val="Strong"/>
                <w:rFonts w:eastAsiaTheme="majorEastAsia"/>
              </w:rPr>
              <w:t>NS – well tolerated</w:t>
            </w:r>
          </w:p>
        </w:tc>
      </w:tr>
      <w:tr w:rsidR="00841C10" w14:paraId="7DFF5C86" w14:textId="77777777" w:rsidTr="00841C10">
        <w:trPr>
          <w:tblCellSpacing w:w="15" w:type="dxa"/>
        </w:trPr>
        <w:tc>
          <w:tcPr>
            <w:tcW w:w="0" w:type="auto"/>
            <w:vAlign w:val="center"/>
            <w:hideMark/>
          </w:tcPr>
          <w:p w14:paraId="3071FB77" w14:textId="77777777" w:rsidR="00841C10" w:rsidRDefault="00841C10">
            <w:r>
              <w:rPr>
                <w:rStyle w:val="Strong"/>
                <w:rFonts w:eastAsiaTheme="majorEastAsia"/>
              </w:rPr>
              <w:t>Brodie et al.</w:t>
            </w:r>
          </w:p>
        </w:tc>
        <w:tc>
          <w:tcPr>
            <w:tcW w:w="0" w:type="auto"/>
            <w:vAlign w:val="center"/>
            <w:hideMark/>
          </w:tcPr>
          <w:p w14:paraId="1FC8D215" w14:textId="77777777" w:rsidR="00841C10" w:rsidRDefault="00841C10">
            <w:r>
              <w:rPr>
                <w:rStyle w:val="Strong"/>
                <w:rFonts w:eastAsiaTheme="majorEastAsia"/>
              </w:rPr>
              <w:t>S – UTIs reduced from 3.14 → 1.53/year (p&lt;0.05)</w:t>
            </w:r>
          </w:p>
        </w:tc>
        <w:tc>
          <w:tcPr>
            <w:tcW w:w="0" w:type="auto"/>
            <w:vAlign w:val="center"/>
            <w:hideMark/>
          </w:tcPr>
          <w:p w14:paraId="76303EE6" w14:textId="77777777" w:rsidR="00841C10" w:rsidRDefault="00841C10">
            <w:r>
              <w:t>NR</w:t>
            </w:r>
          </w:p>
        </w:tc>
        <w:tc>
          <w:tcPr>
            <w:tcW w:w="0" w:type="auto"/>
            <w:vAlign w:val="center"/>
            <w:hideMark/>
          </w:tcPr>
          <w:p w14:paraId="33EA0480" w14:textId="77777777" w:rsidR="00841C10" w:rsidRDefault="00841C10">
            <w:r>
              <w:t>S – fewer antibiotic prophylaxis courses</w:t>
            </w:r>
          </w:p>
        </w:tc>
        <w:tc>
          <w:tcPr>
            <w:tcW w:w="0" w:type="auto"/>
            <w:vAlign w:val="center"/>
            <w:hideMark/>
          </w:tcPr>
          <w:p w14:paraId="33BB8196" w14:textId="77777777" w:rsidR="00841C10" w:rsidRDefault="00841C10">
            <w:r>
              <w:t>NR</w:t>
            </w:r>
          </w:p>
        </w:tc>
        <w:tc>
          <w:tcPr>
            <w:tcW w:w="0" w:type="auto"/>
            <w:vAlign w:val="center"/>
            <w:hideMark/>
          </w:tcPr>
          <w:p w14:paraId="3B671E3A" w14:textId="77777777" w:rsidR="00841C10" w:rsidRDefault="00841C10">
            <w:r>
              <w:rPr>
                <w:rStyle w:val="Strong"/>
                <w:rFonts w:eastAsiaTheme="majorEastAsia"/>
              </w:rPr>
              <w:t>NS – no serious safety concerns</w:t>
            </w:r>
          </w:p>
        </w:tc>
      </w:tr>
    </w:tbl>
    <w:p w14:paraId="13ADFBE8" w14:textId="6A59395D" w:rsidR="00230A6E" w:rsidRDefault="00230A6E">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4714"/>
      </w:tblGrid>
      <w:tr w:rsidR="003F42F9" w:rsidRPr="00396E70" w14:paraId="075ECA51" w14:textId="77777777" w:rsidTr="009D7A25">
        <w:trPr>
          <w:tblHeader/>
          <w:tblCellSpacing w:w="15" w:type="dxa"/>
        </w:trPr>
        <w:tc>
          <w:tcPr>
            <w:tcW w:w="0" w:type="auto"/>
            <w:vAlign w:val="center"/>
            <w:hideMark/>
          </w:tcPr>
          <w:p w14:paraId="1E924658" w14:textId="77777777" w:rsidR="003F42F9" w:rsidRPr="00396E70" w:rsidRDefault="003F42F9" w:rsidP="009D7A25">
            <w:pPr>
              <w:jc w:val="center"/>
              <w:rPr>
                <w:b/>
                <w:bCs/>
              </w:rPr>
            </w:pPr>
            <w:r w:rsidRPr="00396E70">
              <w:rPr>
                <w:b/>
                <w:bCs/>
              </w:rPr>
              <w:lastRenderedPageBreak/>
              <w:t>Symbol</w:t>
            </w:r>
          </w:p>
        </w:tc>
        <w:tc>
          <w:tcPr>
            <w:tcW w:w="0" w:type="auto"/>
            <w:vAlign w:val="center"/>
            <w:hideMark/>
          </w:tcPr>
          <w:p w14:paraId="6CA169A5" w14:textId="77777777" w:rsidR="003F42F9" w:rsidRPr="00396E70" w:rsidRDefault="003F42F9" w:rsidP="009D7A25">
            <w:pPr>
              <w:jc w:val="center"/>
              <w:rPr>
                <w:b/>
                <w:bCs/>
              </w:rPr>
            </w:pPr>
            <w:r w:rsidRPr="00396E70">
              <w:rPr>
                <w:b/>
                <w:bCs/>
              </w:rPr>
              <w:t>Meaning</w:t>
            </w:r>
          </w:p>
        </w:tc>
      </w:tr>
      <w:tr w:rsidR="003F42F9" w:rsidRPr="00396E70" w14:paraId="1A42D0D9" w14:textId="77777777" w:rsidTr="009D7A25">
        <w:trPr>
          <w:tblCellSpacing w:w="15" w:type="dxa"/>
        </w:trPr>
        <w:tc>
          <w:tcPr>
            <w:tcW w:w="0" w:type="auto"/>
            <w:vAlign w:val="center"/>
            <w:hideMark/>
          </w:tcPr>
          <w:p w14:paraId="5A844424" w14:textId="77777777" w:rsidR="003F42F9" w:rsidRPr="00396E70" w:rsidRDefault="003F42F9" w:rsidP="009D7A25">
            <w:pPr>
              <w:rPr>
                <w:b/>
                <w:bCs/>
              </w:rPr>
            </w:pPr>
            <w:r w:rsidRPr="00396E70">
              <w:rPr>
                <w:b/>
                <w:bCs/>
              </w:rPr>
              <w:t>S</w:t>
            </w:r>
          </w:p>
        </w:tc>
        <w:tc>
          <w:tcPr>
            <w:tcW w:w="0" w:type="auto"/>
            <w:vAlign w:val="center"/>
            <w:hideMark/>
          </w:tcPr>
          <w:p w14:paraId="1F36F431" w14:textId="77777777" w:rsidR="003F42F9" w:rsidRPr="00396E70" w:rsidRDefault="003F42F9" w:rsidP="009D7A25">
            <w:r w:rsidRPr="00396E70">
              <w:t>Significant difference vs comparator or baseline</w:t>
            </w:r>
          </w:p>
        </w:tc>
      </w:tr>
      <w:tr w:rsidR="003F42F9" w:rsidRPr="00396E70" w14:paraId="037B7AD5" w14:textId="77777777" w:rsidTr="009D7A25">
        <w:trPr>
          <w:tblCellSpacing w:w="15" w:type="dxa"/>
        </w:trPr>
        <w:tc>
          <w:tcPr>
            <w:tcW w:w="0" w:type="auto"/>
            <w:vAlign w:val="center"/>
            <w:hideMark/>
          </w:tcPr>
          <w:p w14:paraId="1052CE88" w14:textId="77777777" w:rsidR="003F42F9" w:rsidRPr="00396E70" w:rsidRDefault="003F42F9" w:rsidP="009D7A25">
            <w:pPr>
              <w:rPr>
                <w:b/>
                <w:bCs/>
              </w:rPr>
            </w:pPr>
            <w:r w:rsidRPr="00396E70">
              <w:rPr>
                <w:b/>
                <w:bCs/>
              </w:rPr>
              <w:t>NS</w:t>
            </w:r>
          </w:p>
        </w:tc>
        <w:tc>
          <w:tcPr>
            <w:tcW w:w="0" w:type="auto"/>
            <w:vAlign w:val="center"/>
            <w:hideMark/>
          </w:tcPr>
          <w:p w14:paraId="53C9E5A3" w14:textId="77777777" w:rsidR="003F42F9" w:rsidRPr="00396E70" w:rsidRDefault="003F42F9" w:rsidP="009D7A25">
            <w:r w:rsidRPr="00396E70">
              <w:t>No significant difference</w:t>
            </w:r>
          </w:p>
        </w:tc>
      </w:tr>
      <w:tr w:rsidR="003F42F9" w:rsidRPr="00396E70" w14:paraId="72F31B60" w14:textId="77777777" w:rsidTr="009D7A25">
        <w:trPr>
          <w:tblCellSpacing w:w="15" w:type="dxa"/>
        </w:trPr>
        <w:tc>
          <w:tcPr>
            <w:tcW w:w="0" w:type="auto"/>
            <w:vAlign w:val="center"/>
            <w:hideMark/>
          </w:tcPr>
          <w:p w14:paraId="3323DDF9" w14:textId="77777777" w:rsidR="003F42F9" w:rsidRPr="00396E70" w:rsidRDefault="003F42F9" w:rsidP="009D7A25">
            <w:pPr>
              <w:rPr>
                <w:b/>
                <w:bCs/>
              </w:rPr>
            </w:pPr>
            <w:r w:rsidRPr="00396E70">
              <w:rPr>
                <w:b/>
                <w:bCs/>
              </w:rPr>
              <w:t>NR</w:t>
            </w:r>
          </w:p>
        </w:tc>
        <w:tc>
          <w:tcPr>
            <w:tcW w:w="0" w:type="auto"/>
            <w:vAlign w:val="center"/>
            <w:hideMark/>
          </w:tcPr>
          <w:p w14:paraId="020773D3" w14:textId="77777777" w:rsidR="003F42F9" w:rsidRPr="00396E70" w:rsidRDefault="003F42F9" w:rsidP="009D7A25">
            <w:r w:rsidRPr="00396E70">
              <w:t>Not reported</w:t>
            </w:r>
          </w:p>
        </w:tc>
      </w:tr>
      <w:tr w:rsidR="003F42F9" w:rsidRPr="00396E70" w14:paraId="29227FD5" w14:textId="77777777" w:rsidTr="009D7A25">
        <w:trPr>
          <w:tblCellSpacing w:w="15" w:type="dxa"/>
        </w:trPr>
        <w:tc>
          <w:tcPr>
            <w:tcW w:w="0" w:type="auto"/>
            <w:vAlign w:val="center"/>
            <w:hideMark/>
          </w:tcPr>
          <w:p w14:paraId="736E14C8" w14:textId="77777777" w:rsidR="003F42F9" w:rsidRPr="00396E70" w:rsidRDefault="003F42F9" w:rsidP="009D7A25">
            <w:pPr>
              <w:rPr>
                <w:b/>
                <w:bCs/>
              </w:rPr>
            </w:pPr>
            <w:r w:rsidRPr="00396E70">
              <w:rPr>
                <w:b/>
                <w:bCs/>
              </w:rPr>
              <w:t>RR</w:t>
            </w:r>
          </w:p>
        </w:tc>
        <w:tc>
          <w:tcPr>
            <w:tcW w:w="0" w:type="auto"/>
            <w:vAlign w:val="center"/>
            <w:hideMark/>
          </w:tcPr>
          <w:p w14:paraId="6120246E" w14:textId="77777777" w:rsidR="003F42F9" w:rsidRPr="00396E70" w:rsidRDefault="003F42F9" w:rsidP="009D7A25">
            <w:r w:rsidRPr="00396E70">
              <w:t>Relative Risk</w:t>
            </w:r>
          </w:p>
        </w:tc>
      </w:tr>
      <w:tr w:rsidR="003F42F9" w:rsidRPr="00396E70" w14:paraId="201C9038" w14:textId="77777777" w:rsidTr="009D7A25">
        <w:trPr>
          <w:tblCellSpacing w:w="15" w:type="dxa"/>
        </w:trPr>
        <w:tc>
          <w:tcPr>
            <w:tcW w:w="0" w:type="auto"/>
            <w:vAlign w:val="center"/>
            <w:hideMark/>
          </w:tcPr>
          <w:p w14:paraId="2B8EC920" w14:textId="77777777" w:rsidR="003F42F9" w:rsidRPr="00396E70" w:rsidRDefault="003F42F9" w:rsidP="009D7A25">
            <w:pPr>
              <w:rPr>
                <w:b/>
                <w:bCs/>
              </w:rPr>
            </w:pPr>
            <w:r w:rsidRPr="00396E70">
              <w:rPr>
                <w:b/>
                <w:bCs/>
              </w:rPr>
              <w:t>AE</w:t>
            </w:r>
          </w:p>
        </w:tc>
        <w:tc>
          <w:tcPr>
            <w:tcW w:w="0" w:type="auto"/>
            <w:vAlign w:val="center"/>
            <w:hideMark/>
          </w:tcPr>
          <w:p w14:paraId="1FC693B0" w14:textId="77777777" w:rsidR="003F42F9" w:rsidRPr="00396E70" w:rsidRDefault="003F42F9" w:rsidP="009D7A25">
            <w:r w:rsidRPr="00396E70">
              <w:t>Adverse Event</w:t>
            </w:r>
          </w:p>
        </w:tc>
      </w:tr>
      <w:tr w:rsidR="003F42F9" w:rsidRPr="00396E70" w14:paraId="537B9AAD" w14:textId="77777777" w:rsidTr="009D7A25">
        <w:trPr>
          <w:tblCellSpacing w:w="15" w:type="dxa"/>
        </w:trPr>
        <w:tc>
          <w:tcPr>
            <w:tcW w:w="0" w:type="auto"/>
            <w:vAlign w:val="center"/>
          </w:tcPr>
          <w:p w14:paraId="02D5808D" w14:textId="77777777" w:rsidR="003F42F9" w:rsidRPr="00396E70" w:rsidRDefault="003F42F9" w:rsidP="009D7A25">
            <w:pPr>
              <w:rPr>
                <w:b/>
                <w:bCs/>
              </w:rPr>
            </w:pPr>
            <w:r w:rsidRPr="00396E70">
              <w:rPr>
                <w:b/>
                <w:bCs/>
              </w:rPr>
              <w:t>SAE</w:t>
            </w:r>
          </w:p>
        </w:tc>
        <w:tc>
          <w:tcPr>
            <w:tcW w:w="0" w:type="auto"/>
            <w:vAlign w:val="center"/>
          </w:tcPr>
          <w:p w14:paraId="53B14A48" w14:textId="77777777" w:rsidR="003F42F9" w:rsidRPr="00396E70" w:rsidRDefault="003F42F9" w:rsidP="009D7A25">
            <w:r w:rsidRPr="00396E70">
              <w:t>Serious Adverse Event</w:t>
            </w:r>
          </w:p>
        </w:tc>
      </w:tr>
    </w:tbl>
    <w:p w14:paraId="5972F143" w14:textId="77777777" w:rsidR="003F42F9" w:rsidRDefault="003F42F9">
      <w:pPr>
        <w:rPr>
          <w:b/>
          <w:bCs/>
        </w:rPr>
      </w:pPr>
    </w:p>
    <w:p w14:paraId="64B5FDC7" w14:textId="77777777" w:rsidR="000B1A33" w:rsidRDefault="000B1A33">
      <w:pPr>
        <w:rPr>
          <w:b/>
          <w:bCs/>
        </w:rPr>
      </w:pPr>
    </w:p>
    <w:p w14:paraId="4008CD35" w14:textId="77777777" w:rsidR="00523885" w:rsidRDefault="00523885">
      <w:pPr>
        <w:rPr>
          <w:b/>
          <w:bCs/>
        </w:rPr>
      </w:pPr>
    </w:p>
    <w:p w14:paraId="42700BC9" w14:textId="1725C791" w:rsidR="00401FA1" w:rsidRDefault="00401FA1" w:rsidP="00A947A2">
      <w:pPr>
        <w:spacing w:line="480" w:lineRule="auto"/>
        <w:rPr>
          <w:b/>
          <w:bCs/>
        </w:rPr>
      </w:pPr>
      <w:r>
        <w:rPr>
          <w:b/>
          <w:bCs/>
        </w:rPr>
        <w:t>Discussion</w:t>
      </w:r>
    </w:p>
    <w:p w14:paraId="5972E885" w14:textId="5CE11C7F" w:rsidR="00401FA1" w:rsidRDefault="00401FA1" w:rsidP="00A947A2">
      <w:pPr>
        <w:spacing w:line="480" w:lineRule="auto"/>
        <w:rPr>
          <w:i/>
          <w:iCs/>
        </w:rPr>
      </w:pPr>
      <w:r>
        <w:rPr>
          <w:i/>
          <w:iCs/>
        </w:rPr>
        <w:t>Study endpoints</w:t>
      </w:r>
    </w:p>
    <w:p w14:paraId="26B62AD7" w14:textId="6ED8BC88" w:rsidR="003A5708" w:rsidRDefault="002F4E26" w:rsidP="00A947A2">
      <w:pPr>
        <w:spacing w:line="480" w:lineRule="auto"/>
      </w:pPr>
      <w:r>
        <w:tab/>
      </w:r>
      <w:r w:rsidR="00D30C93">
        <w:t>Across the studies included in this</w:t>
      </w:r>
      <w:r w:rsidR="008919DB">
        <w:t xml:space="preserve"> systematic literature review,</w:t>
      </w:r>
      <w:r w:rsidR="00110E16">
        <w:t xml:space="preserve"> conclusions regarding vaccine effectiveness in preventing recurrent UTIs were based on changes in the primary endpoints</w:t>
      </w:r>
      <w:r w:rsidR="003C4E0F">
        <w:t>.</w:t>
      </w:r>
      <w:r w:rsidR="00361D53" w:rsidRPr="00361D53">
        <w:rPr>
          <w:vertAlign w:val="superscript"/>
        </w:rPr>
        <w:t>6-8</w:t>
      </w:r>
      <w:r w:rsidR="003C4E0F">
        <w:t xml:space="preserve"> </w:t>
      </w:r>
      <w:r w:rsidR="00A4218C">
        <w:t xml:space="preserve">The first </w:t>
      </w:r>
      <w:r w:rsidR="003C4E0F">
        <w:t>study</w:t>
      </w:r>
      <w:r w:rsidR="00A4218C">
        <w:t xml:space="preserve">, the randomized phase 1b trial conducted by Huttner et al., </w:t>
      </w:r>
      <w:r w:rsidR="000A2330">
        <w:t>primarily assessed immunogenicity and safety of the</w:t>
      </w:r>
      <w:r w:rsidR="001C76C5">
        <w:t xml:space="preserve"> intramuscular</w:t>
      </w:r>
      <w:r w:rsidR="000A2330">
        <w:t xml:space="preserve"> ExPEC4V</w:t>
      </w:r>
      <w:r w:rsidR="00A11CEB">
        <w:t xml:space="preserve"> vaccine. </w:t>
      </w:r>
      <w:r w:rsidR="00BF708C">
        <w:t xml:space="preserve">In this trial, </w:t>
      </w:r>
      <w:r w:rsidR="00C132D5">
        <w:t xml:space="preserve">93 women received the vaccine and 95 women received placebo. </w:t>
      </w:r>
      <w:r w:rsidR="00A11CEB">
        <w:t xml:space="preserve">The study ultimately demonstrated </w:t>
      </w:r>
      <w:r w:rsidR="00710FE1">
        <w:t xml:space="preserve">significant antibody responses against the 4 targeted </w:t>
      </w:r>
      <w:r w:rsidR="00710FE1" w:rsidRPr="00710FE1">
        <w:rPr>
          <w:i/>
          <w:iCs/>
        </w:rPr>
        <w:t>E. coli</w:t>
      </w:r>
      <w:r w:rsidR="00710FE1">
        <w:t xml:space="preserve"> serotypes, which indicates that the vaccine successfully stimulated an immune response.</w:t>
      </w:r>
      <w:r w:rsidR="00A80BB1">
        <w:t xml:space="preserve"> </w:t>
      </w:r>
      <w:r w:rsidR="00C132D5">
        <w:t>Specifically, antibody titers increased 4.6-fold for O1A, 9.4-fold for O2, 4.9-fold for O6A, and 5.9-fold for O25B at day 30 compared with baseline (P &lt; 0.0001).</w:t>
      </w:r>
      <w:r w:rsidR="003235DA">
        <w:t xml:space="preserve"> These levels did decline over time but remained detectable through day 270</w:t>
      </w:r>
      <w:r w:rsidR="00356DB8">
        <w:t xml:space="preserve">. </w:t>
      </w:r>
      <w:r w:rsidR="00A80BB1">
        <w:t>Safety outcomes of this vaccine were also favorable, with no reports of serious vaccine-related adverse events through</w:t>
      </w:r>
      <w:r w:rsidR="001A7144">
        <w:t>out the course of the</w:t>
      </w:r>
      <w:r w:rsidR="007019D0">
        <w:t xml:space="preserve"> trial. This study was </w:t>
      </w:r>
      <w:r w:rsidR="00C346A1">
        <w:t xml:space="preserve">not </w:t>
      </w:r>
      <w:r w:rsidR="007C70BA">
        <w:t>designed to definitively determine clinical effectiveness of the ExPEC4V vaccine, since reduction in UTI recurrence was not the primary outcome</w:t>
      </w:r>
      <w:r w:rsidR="00A0137B">
        <w:t>; however, exploratory analyses we</w:t>
      </w:r>
      <w:r w:rsidR="00BD6641">
        <w:t>re suggestive of potential clinical benefit, with fe</w:t>
      </w:r>
      <w:r w:rsidR="00C346A1">
        <w:t>w</w:t>
      </w:r>
      <w:r w:rsidR="00BD6641">
        <w:t>er UTIs cause by E. coli of any serotype in the vaccine group compared with placebo group (</w:t>
      </w:r>
      <w:r w:rsidR="00AE0831">
        <w:t>0.207 vs 0.463 mean episodes, respectively; p = 0.002).</w:t>
      </w:r>
    </w:p>
    <w:p w14:paraId="104632D7" w14:textId="720C0E4A" w:rsidR="00BC21FC" w:rsidRDefault="00476E6E" w:rsidP="00BC21FC">
      <w:pPr>
        <w:spacing w:line="480" w:lineRule="auto"/>
        <w:ind w:firstLine="720"/>
      </w:pPr>
      <w:r>
        <w:lastRenderedPageBreak/>
        <w:t>The</w:t>
      </w:r>
      <w:r w:rsidR="00E02F42">
        <w:t xml:space="preserve"> second study, the </w:t>
      </w:r>
      <w:r w:rsidR="009831E8">
        <w:t xml:space="preserve">prospective </w:t>
      </w:r>
      <w:r w:rsidR="00110E16">
        <w:t xml:space="preserve">clinical practice </w:t>
      </w:r>
      <w:r w:rsidR="009831E8">
        <w:t>trial conducted by Lopes</w:t>
      </w:r>
      <w:r>
        <w:t xml:space="preserve"> et al., evaluated the sublingual bacterial vaccine MV140.</w:t>
      </w:r>
      <w:r w:rsidR="00683FFF">
        <w:t xml:space="preserve"> The study ultimately demonstrated </w:t>
      </w:r>
      <w:r w:rsidR="00505EC7">
        <w:t>that patients with recurrent UTIs experienced a substantial reduction in infection frequency following the vaccination.</w:t>
      </w:r>
      <w:r w:rsidR="00D6450E">
        <w:t xml:space="preserve"> There was </w:t>
      </w:r>
      <w:r w:rsidR="00F13AF1">
        <w:t>a</w:t>
      </w:r>
      <w:r w:rsidR="00110E16">
        <w:t xml:space="preserve">n absolute reduction of 2.30 UTIs per year (approximately </w:t>
      </w:r>
      <w:r w:rsidR="00AC5C4A">
        <w:t xml:space="preserve">71.5% </w:t>
      </w:r>
      <w:r w:rsidR="00110E16">
        <w:t xml:space="preserve">relative </w:t>
      </w:r>
      <w:r w:rsidR="00AC5C4A">
        <w:t>reduction</w:t>
      </w:r>
      <w:r w:rsidR="00110E16">
        <w:t>)</w:t>
      </w:r>
      <w:r w:rsidR="00AC5C4A">
        <w:t>, with the mean number of UTIs decreasing from 3.14 episodes per year prior to treatment to 0.84 episodes per year after treatment.</w:t>
      </w:r>
      <w:r w:rsidR="00DC6CFA">
        <w:t xml:space="preserve"> Additionally, 38% of patients remained UTI-free at 12 months and 93%</w:t>
      </w:r>
      <w:r w:rsidR="00651E0B">
        <w:t xml:space="preserve"> had a reduction in UTI frequency. Patient reported satisfaction was also favorable</w:t>
      </w:r>
      <w:r w:rsidR="00BC21FC">
        <w:t>, with an average score of 7.52 out of 10, suggestive of significant clinical benefit and improved quality of life for individuals.</w:t>
      </w:r>
    </w:p>
    <w:p w14:paraId="2E6B3563" w14:textId="36B430D5" w:rsidR="00BC21FC" w:rsidRDefault="00817F77" w:rsidP="00BC21FC">
      <w:pPr>
        <w:spacing w:line="480" w:lineRule="auto"/>
        <w:ind w:firstLine="720"/>
      </w:pPr>
      <w:r>
        <w:t xml:space="preserve">The third study, the retrospective cohort study conducted by </w:t>
      </w:r>
      <w:r w:rsidR="001C76C5">
        <w:t>Brodie et al., assessed the oral immunostimulant OM-89</w:t>
      </w:r>
      <w:r w:rsidR="00A17A10">
        <w:t xml:space="preserve"> for prophylaxis of recurrent UTIs. The study ultimately demonstrated </w:t>
      </w:r>
      <w:r w:rsidR="00C53140">
        <w:t>a decrease in UTIs per year following the immunoprophylaxis.</w:t>
      </w:r>
      <w:r w:rsidR="007966E2">
        <w:t xml:space="preserve"> The mean number of UTI episodes decreased from 3.14 per year prior to treatment to 1.53 per year after treatment</w:t>
      </w:r>
      <w:r w:rsidR="00505FD4">
        <w:t>, representative of approximately a 51% reduction in recurrence.</w:t>
      </w:r>
      <w:r w:rsidR="00DE7AEC">
        <w:t xml:space="preserve"> S</w:t>
      </w:r>
      <w:r w:rsidR="008F4FBC">
        <w:t>ide effect profiles of this vaccine were also favorable</w:t>
      </w:r>
      <w:r w:rsidR="00E06BA2">
        <w:t>, with 9.4% of patients reporting mild side effects such as gastrointestinal discomfort or rash. Anaphylaxis related to the treatment was never reported.</w:t>
      </w:r>
    </w:p>
    <w:p w14:paraId="150B01C7" w14:textId="208AA4A7" w:rsidR="00AC0E95" w:rsidRDefault="00DA0F3B" w:rsidP="00BC21FC">
      <w:pPr>
        <w:spacing w:line="480" w:lineRule="auto"/>
        <w:ind w:firstLine="720"/>
      </w:pPr>
      <w:r>
        <w:t xml:space="preserve">Across these three studies, endpoints of each study ranged from </w:t>
      </w:r>
      <w:r w:rsidR="0085249A">
        <w:t xml:space="preserve">the analysis of immunologic markers to clinically meaningful reductions in UTI frequency. The combined evidence </w:t>
      </w:r>
      <w:r w:rsidR="008C4A1A">
        <w:t xml:space="preserve">suggests that immunoprophylaxis </w:t>
      </w:r>
      <w:r w:rsidR="00955169">
        <w:t>may be an effective non</w:t>
      </w:r>
      <w:r w:rsidR="00C346A1">
        <w:t>-</w:t>
      </w:r>
      <w:r w:rsidR="00955169">
        <w:t xml:space="preserve">antibiotic strategy </w:t>
      </w:r>
      <w:r w:rsidR="00C346A1">
        <w:t xml:space="preserve">for the </w:t>
      </w:r>
      <w:r w:rsidR="00955169">
        <w:t>prevention of recurrent UTIs.</w:t>
      </w:r>
      <w:r w:rsidR="00C57BFC">
        <w:t xml:space="preserve"> The evidence in the literature continues to mature, yet vaccines remain difficult for patients to access</w:t>
      </w:r>
      <w:r w:rsidR="00416A3D">
        <w:t xml:space="preserve"> given that to date, no vaccine for UTI prevention has been approved by the</w:t>
      </w:r>
      <w:r w:rsidR="004B2253">
        <w:t xml:space="preserve"> Food and Drug Administration in the United States.</w:t>
      </w:r>
      <w:r w:rsidR="004B2253" w:rsidRPr="004B2253">
        <w:rPr>
          <w:vertAlign w:val="superscript"/>
        </w:rPr>
        <w:t>9</w:t>
      </w:r>
      <w:r w:rsidR="001132C9">
        <w:rPr>
          <w:vertAlign w:val="superscript"/>
        </w:rPr>
        <w:t>-</w:t>
      </w:r>
      <w:r w:rsidR="00F76F1C">
        <w:rPr>
          <w:vertAlign w:val="superscript"/>
        </w:rPr>
        <w:t>1</w:t>
      </w:r>
      <w:r w:rsidR="001132C9">
        <w:rPr>
          <w:vertAlign w:val="superscript"/>
        </w:rPr>
        <w:t>1</w:t>
      </w:r>
    </w:p>
    <w:p w14:paraId="185F8E6B" w14:textId="77777777" w:rsidR="009E3F40" w:rsidRPr="00AF286B" w:rsidRDefault="009E3F40" w:rsidP="00A947A2">
      <w:pPr>
        <w:spacing w:line="480" w:lineRule="auto"/>
      </w:pPr>
    </w:p>
    <w:p w14:paraId="341C3B8B" w14:textId="4DBE0E9A" w:rsidR="00401FA1" w:rsidRDefault="00401FA1" w:rsidP="00A947A2">
      <w:pPr>
        <w:spacing w:line="480" w:lineRule="auto"/>
        <w:rPr>
          <w:i/>
          <w:iCs/>
        </w:rPr>
      </w:pPr>
      <w:r>
        <w:rPr>
          <w:i/>
          <w:iCs/>
        </w:rPr>
        <w:lastRenderedPageBreak/>
        <w:t>Further questions</w:t>
      </w:r>
      <w:r w:rsidR="009E3F40">
        <w:rPr>
          <w:i/>
          <w:iCs/>
        </w:rPr>
        <w:t xml:space="preserve"> and Implications for U.S. Clinical Practice</w:t>
      </w:r>
    </w:p>
    <w:p w14:paraId="0A476515" w14:textId="31E7D49D" w:rsidR="002F4E26" w:rsidRDefault="002F4E26" w:rsidP="00A947A2">
      <w:pPr>
        <w:spacing w:line="480" w:lineRule="auto"/>
      </w:pPr>
      <w:r>
        <w:tab/>
      </w:r>
      <w:r w:rsidR="003A3C3A">
        <w:t>Despite these encouraging results, s</w:t>
      </w:r>
      <w:r w:rsidR="00C66CFD">
        <w:t xml:space="preserve">everal questions remain in understanding the practical implementation of UTI vaccines as a form of immunoprophylaxis in </w:t>
      </w:r>
      <w:r w:rsidR="00C57B63">
        <w:t>United States clinical practice.</w:t>
      </w:r>
      <w:r w:rsidR="000B0836">
        <w:t xml:space="preserve"> </w:t>
      </w:r>
      <w:r w:rsidR="000C49AE">
        <w:t>One of the major limitations in current literature is</w:t>
      </w:r>
      <w:r w:rsidR="003837E7">
        <w:t xml:space="preserve"> relatively small sample sizes and heterogenous study designs, which do not allow for</w:t>
      </w:r>
      <w:r w:rsidR="00757DBB">
        <w:t xml:space="preserve"> </w:t>
      </w:r>
      <w:r w:rsidR="00DB1060">
        <w:t>definit</w:t>
      </w:r>
      <w:r w:rsidR="00DF3366">
        <w:t>ive conclusions</w:t>
      </w:r>
      <w:r w:rsidR="00E95672">
        <w:t xml:space="preserve"> about clinical effic</w:t>
      </w:r>
      <w:r w:rsidR="004C3583">
        <w:t>acy or generalizability of results</w:t>
      </w:r>
      <w:r w:rsidR="00FA17DE">
        <w:t xml:space="preserve">. There </w:t>
      </w:r>
      <w:proofErr w:type="gramStart"/>
      <w:r w:rsidR="00FA17DE">
        <w:t>is</w:t>
      </w:r>
      <w:proofErr w:type="gramEnd"/>
      <w:r w:rsidR="00FA17DE">
        <w:t xml:space="preserve"> a need </w:t>
      </w:r>
      <w:r w:rsidR="004C62FE">
        <w:t>larger and more standardized randomized</w:t>
      </w:r>
      <w:r w:rsidR="00001A05">
        <w:t xml:space="preserve"> controlled trials to better analyze the effectiveness and long-term outcomes of immunoprophylaxis in preventing recurrent UTIs.</w:t>
      </w:r>
      <w:r w:rsidR="0069469B" w:rsidRPr="0069469B">
        <w:rPr>
          <w:vertAlign w:val="superscript"/>
        </w:rPr>
        <w:t>12</w:t>
      </w:r>
    </w:p>
    <w:p w14:paraId="3CB0E971" w14:textId="78172E90" w:rsidR="004C62FE" w:rsidRDefault="004C62FE" w:rsidP="00A947A2">
      <w:pPr>
        <w:spacing w:line="480" w:lineRule="auto"/>
      </w:pPr>
      <w:r>
        <w:tab/>
      </w:r>
      <w:r w:rsidR="00F8201F">
        <w:t xml:space="preserve">Another question that remains unanswered </w:t>
      </w:r>
      <w:r w:rsidR="00DF4687">
        <w:t xml:space="preserve">is understanding the </w:t>
      </w:r>
      <w:r w:rsidR="00296F4D">
        <w:t>timeline of vaccine-induced protection against bacteria.</w:t>
      </w:r>
      <w:r w:rsidR="007D4D3B">
        <w:t xml:space="preserve"> Data on sustained protection</w:t>
      </w:r>
      <w:r w:rsidR="0063660D">
        <w:t>,</w:t>
      </w:r>
      <w:r w:rsidR="007D4D3B">
        <w:t xml:space="preserve"> beyond the 12 months highlighted </w:t>
      </w:r>
      <w:r w:rsidR="0063660D">
        <w:t>in some of the above studies, are limited</w:t>
      </w:r>
      <w:r w:rsidR="002542B2">
        <w:t xml:space="preserve"> and</w:t>
      </w:r>
      <w:r w:rsidR="00110BEC">
        <w:t xml:space="preserve"> has not been well characterized. There is a need for longer studies that aim to define the</w:t>
      </w:r>
      <w:r w:rsidR="00A52997">
        <w:t xml:space="preserve"> duration of vaccine-induced protection to determine if there is a need for booster doses or repeat vaccination cycles to maintain long-term immunity.</w:t>
      </w:r>
      <w:r w:rsidR="00EB3A27" w:rsidRPr="00EB3A27">
        <w:rPr>
          <w:vertAlign w:val="superscript"/>
        </w:rPr>
        <w:t>13</w:t>
      </w:r>
    </w:p>
    <w:p w14:paraId="5363E998" w14:textId="1BD78677" w:rsidR="00EB3A27" w:rsidRDefault="00EB3A27" w:rsidP="00A947A2">
      <w:pPr>
        <w:spacing w:line="480" w:lineRule="auto"/>
      </w:pPr>
      <w:r>
        <w:tab/>
      </w:r>
      <w:r w:rsidR="00684717">
        <w:t>A</w:t>
      </w:r>
      <w:r w:rsidR="002D5E99">
        <w:t xml:space="preserve">nother </w:t>
      </w:r>
      <w:r w:rsidR="00A72DFE">
        <w:t>remaining question</w:t>
      </w:r>
      <w:r w:rsidR="00C766D8">
        <w:t xml:space="preserve"> concerns identifying the patient population that is most likely to benefit from immunoprophylaxis</w:t>
      </w:r>
      <w:r w:rsidR="00994E2A">
        <w:t>. Most of the available literature focuses on adult women with recurrent uncomplicated UTI</w:t>
      </w:r>
      <w:r w:rsidR="00762438">
        <w:t xml:space="preserve">s, however there is a large burden of recurrent UTIs in postmenopausal </w:t>
      </w:r>
      <w:r w:rsidR="003208D6">
        <w:t>women, patients with multidrug-resistant pathogens, and patients with urinary tract structural abnormalities</w:t>
      </w:r>
      <w:r w:rsidR="00E977C5">
        <w:t>.</w:t>
      </w:r>
      <w:r w:rsidR="008E64D1" w:rsidRPr="00407115">
        <w:rPr>
          <w:vertAlign w:val="superscript"/>
        </w:rPr>
        <w:t>14,</w:t>
      </w:r>
      <w:r w:rsidR="00E977C5" w:rsidRPr="00407115">
        <w:rPr>
          <w:vertAlign w:val="superscript"/>
        </w:rPr>
        <w:t>15</w:t>
      </w:r>
      <w:r w:rsidR="008E64D1">
        <w:t xml:space="preserve"> </w:t>
      </w:r>
      <w:r w:rsidR="003D7CB6">
        <w:t xml:space="preserve">Future studies are needed to evaluate the </w:t>
      </w:r>
      <w:r w:rsidR="00407115">
        <w:t>impact of immunoprophylaxis in these higher-risk groups.</w:t>
      </w:r>
    </w:p>
    <w:p w14:paraId="16F7BECF" w14:textId="35CD9976" w:rsidR="001D6966" w:rsidRDefault="00887AC5" w:rsidP="00A947A2">
      <w:pPr>
        <w:spacing w:line="480" w:lineRule="auto"/>
      </w:pPr>
      <w:r>
        <w:tab/>
      </w:r>
      <w:r w:rsidR="00E329E3">
        <w:t xml:space="preserve">The findings from this </w:t>
      </w:r>
      <w:r w:rsidR="005D0D90">
        <w:t xml:space="preserve">systematic literature review </w:t>
      </w:r>
      <w:r w:rsidR="005E22DD">
        <w:t>also have important implications for clinical practice in the United States.</w:t>
      </w:r>
      <w:r w:rsidR="003C1F54">
        <w:t xml:space="preserve"> </w:t>
      </w:r>
      <w:r w:rsidR="009171B8">
        <w:t>The current standard management of recurrent UTIs relies on behavioral modifications, vaginal estrogen therapy, and antibiotic prophylaxis.</w:t>
      </w:r>
      <w:r w:rsidR="00DD3AB1" w:rsidRPr="00DD3AB1">
        <w:rPr>
          <w:vertAlign w:val="superscript"/>
        </w:rPr>
        <w:t>16</w:t>
      </w:r>
      <w:r w:rsidR="00DD3AB1">
        <w:t xml:space="preserve"> Given the </w:t>
      </w:r>
      <w:r w:rsidR="00DD3AB1">
        <w:lastRenderedPageBreak/>
        <w:t xml:space="preserve">increasing rates of antimicrobial resistance, especially against </w:t>
      </w:r>
      <w:r w:rsidR="009A1DC1">
        <w:t>uropathogens,</w:t>
      </w:r>
      <w:r w:rsidR="00EC2954">
        <w:t xml:space="preserve"> there has been increased concern about the long-term sustainability of antibiotic-based prevention strategies.</w:t>
      </w:r>
      <w:r w:rsidR="00A740A4">
        <w:t xml:space="preserve">17 </w:t>
      </w:r>
      <w:r w:rsidR="007F3F05">
        <w:t>Using an economic lens to assess the practical implications</w:t>
      </w:r>
      <w:r w:rsidR="001E04C3">
        <w:t xml:space="preserve"> of immunoprophylaxis, literature shows that the total cost associated with recurrent UTIs are significantly influenced by factors such as age, health status, </w:t>
      </w:r>
      <w:r w:rsidR="00CC0732">
        <w:t>and the use of diagnostic tests.</w:t>
      </w:r>
      <w:r w:rsidR="008643E7" w:rsidRPr="008643E7">
        <w:rPr>
          <w:vertAlign w:val="superscript"/>
        </w:rPr>
        <w:t>18</w:t>
      </w:r>
      <w:r w:rsidR="00CC0732">
        <w:t xml:space="preserve"> </w:t>
      </w:r>
      <w:r w:rsidR="0080537D">
        <w:t xml:space="preserve">Based on available literature, the </w:t>
      </w:r>
      <w:r w:rsidR="00B36147">
        <w:t>sublingual immunoprophylaxis, among the current prophylactic strategies being explored, demonstrated the highest cost-effectiveness.</w:t>
      </w:r>
      <w:r w:rsidR="008643E7" w:rsidRPr="008643E7">
        <w:rPr>
          <w:vertAlign w:val="superscript"/>
        </w:rPr>
        <w:t>19</w:t>
      </w:r>
      <w:r w:rsidR="007A667A">
        <w:rPr>
          <w:vertAlign w:val="superscript"/>
        </w:rPr>
        <w:t>,20</w:t>
      </w:r>
      <w:r w:rsidR="00B36147">
        <w:t xml:space="preserve"> This form of </w:t>
      </w:r>
      <w:r w:rsidR="00C36836">
        <w:t xml:space="preserve">prophylaxis significantly reduced the need for emergency visits, follow-up appointments, recurrence of </w:t>
      </w:r>
      <w:r w:rsidR="00F80D49">
        <w:t>infection, and the need for diagnostic testing.</w:t>
      </w:r>
      <w:r w:rsidR="008643E7" w:rsidRPr="008643E7">
        <w:rPr>
          <w:vertAlign w:val="superscript"/>
        </w:rPr>
        <w:t>19</w:t>
      </w:r>
      <w:r w:rsidR="001D6966">
        <w:rPr>
          <w:vertAlign w:val="superscript"/>
        </w:rPr>
        <w:t xml:space="preserve"> </w:t>
      </w:r>
      <w:r w:rsidR="007B360E">
        <w:t>These collective findings suggest that immunoprophlyaxis may offer both clinical and economic advantages as a preventative strategy for recurrent UTIs.</w:t>
      </w:r>
    </w:p>
    <w:p w14:paraId="409AFEC0" w14:textId="77777777" w:rsidR="00623368" w:rsidRPr="008643E7" w:rsidRDefault="00623368" w:rsidP="00A947A2">
      <w:pPr>
        <w:spacing w:line="480" w:lineRule="auto"/>
        <w:rPr>
          <w:vertAlign w:val="superscript"/>
        </w:rPr>
      </w:pPr>
    </w:p>
    <w:p w14:paraId="1ECB7B53" w14:textId="378FFB50" w:rsidR="00401FA1" w:rsidRDefault="00401FA1" w:rsidP="00A947A2">
      <w:pPr>
        <w:spacing w:line="480" w:lineRule="auto"/>
        <w:rPr>
          <w:b/>
          <w:bCs/>
        </w:rPr>
      </w:pPr>
      <w:r>
        <w:rPr>
          <w:b/>
          <w:bCs/>
        </w:rPr>
        <w:t>Conclusion</w:t>
      </w:r>
    </w:p>
    <w:p w14:paraId="29D32086" w14:textId="4324F455" w:rsidR="003D1705" w:rsidRPr="008B003E" w:rsidRDefault="003D1705" w:rsidP="00A947A2">
      <w:pPr>
        <w:spacing w:line="480" w:lineRule="auto"/>
      </w:pPr>
      <w:r>
        <w:rPr>
          <w:b/>
          <w:bCs/>
        </w:rPr>
        <w:tab/>
      </w:r>
      <w:r w:rsidR="008B003E">
        <w:t>Recurrent UTIs remai</w:t>
      </w:r>
      <w:r w:rsidR="0000320B">
        <w:t>n a major public health concern, contributing to antimicrobial resistance and</w:t>
      </w:r>
      <w:r w:rsidR="001D29C0">
        <w:t xml:space="preserve"> significant economic burden. These studies </w:t>
      </w:r>
      <w:r w:rsidR="004F254E">
        <w:t>examined in this sy</w:t>
      </w:r>
      <w:r w:rsidR="00543949">
        <w:t xml:space="preserve">stematic literature review suggest that </w:t>
      </w:r>
      <w:proofErr w:type="spellStart"/>
      <w:r w:rsidR="00543949">
        <w:t>immunoprophylaxis</w:t>
      </w:r>
      <w:proofErr w:type="spellEnd"/>
      <w:r w:rsidR="00543949">
        <w:t xml:space="preserve"> represent</w:t>
      </w:r>
      <w:r w:rsidR="00C346A1">
        <w:t>s</w:t>
      </w:r>
      <w:r w:rsidR="00543949">
        <w:t xml:space="preserve"> a promising non-antibiotic strategy for prevention.</w:t>
      </w:r>
      <w:r w:rsidR="00D65E29">
        <w:t xml:space="preserve"> The intramuscular ExPEC4V demonstrated strong immunogenic responses</w:t>
      </w:r>
      <w:r w:rsidR="00BF175A">
        <w:t xml:space="preserve"> and</w:t>
      </w:r>
      <w:r w:rsidR="00E34332">
        <w:t xml:space="preserve"> the oral immunostimulant OM-89</w:t>
      </w:r>
      <w:r w:rsidR="00BF175A">
        <w:t xml:space="preserve"> and the sublingual vacci</w:t>
      </w:r>
      <w:r w:rsidR="007675E0">
        <w:t>ne MV140</w:t>
      </w:r>
      <w:r w:rsidR="00C32D71">
        <w:t xml:space="preserve"> reported meaningful reductions in UTI recurrence</w:t>
      </w:r>
      <w:r w:rsidR="007675E0">
        <w:t>.</w:t>
      </w:r>
      <w:r w:rsidR="0063697E" w:rsidRPr="0063697E">
        <w:rPr>
          <w:vertAlign w:val="superscript"/>
        </w:rPr>
        <w:t xml:space="preserve"> </w:t>
      </w:r>
      <w:r w:rsidR="0063697E" w:rsidRPr="00361D53">
        <w:rPr>
          <w:vertAlign w:val="superscript"/>
        </w:rPr>
        <w:t>6-8</w:t>
      </w:r>
      <w:r w:rsidR="007675E0">
        <w:t xml:space="preserve"> </w:t>
      </w:r>
      <w:r w:rsidR="00071DBC">
        <w:t xml:space="preserve">From </w:t>
      </w:r>
      <w:r w:rsidR="001152DC">
        <w:t xml:space="preserve">a clinical lens, these collective findings indicate </w:t>
      </w:r>
      <w:r w:rsidR="00BD5379">
        <w:t>that immunoprophylaxis could become an adjunct or alternative to antibiotic prophylaxis, especially in patients at risk of antimicrobial resistance.</w:t>
      </w:r>
      <w:r w:rsidR="0079091A">
        <w:t xml:space="preserve"> Future research should focus on large, multicenter randomized controlled trials to evaluate clinical efficacy of the vaccine intervention as the primary endpoint.</w:t>
      </w:r>
      <w:r w:rsidR="00AB2F63">
        <w:t xml:space="preserve"> Other areas of focus</w:t>
      </w:r>
      <w:r w:rsidR="00AE6963">
        <w:t xml:space="preserve"> should</w:t>
      </w:r>
      <w:r w:rsidR="00AB2F63">
        <w:t xml:space="preserve"> include studies with longer follow-up periods to assess </w:t>
      </w:r>
      <w:r w:rsidR="00C346A1">
        <w:t xml:space="preserve">the </w:t>
      </w:r>
      <w:r w:rsidR="00AB2F63">
        <w:t xml:space="preserve">durability of immune protection, </w:t>
      </w:r>
      <w:r w:rsidR="00AE6963">
        <w:t xml:space="preserve">examining </w:t>
      </w:r>
      <w:r w:rsidR="005D1958">
        <w:t xml:space="preserve">effectiveness in diverse patient </w:t>
      </w:r>
      <w:r w:rsidR="005D1958">
        <w:lastRenderedPageBreak/>
        <w:t xml:space="preserve">populations, and direct comparison </w:t>
      </w:r>
      <w:r w:rsidR="00283D15">
        <w:t xml:space="preserve">of immunoprophylaxis with current standard preventative strategies. </w:t>
      </w:r>
      <w:r w:rsidR="00F16776">
        <w:t xml:space="preserve">These efforts will be essential to determine the </w:t>
      </w:r>
      <w:r w:rsidR="00816FA5">
        <w:t xml:space="preserve">role of immunoprophylaxis </w:t>
      </w:r>
      <w:r w:rsidR="00F7660D">
        <w:t>as a preventative strategy for recurrent UTIs in the United States.</w:t>
      </w:r>
      <w:r w:rsidR="00283D15">
        <w:t xml:space="preserve"> </w:t>
      </w:r>
    </w:p>
    <w:p w14:paraId="06294D9A" w14:textId="152BE837" w:rsidR="00A8645F" w:rsidRDefault="00623368">
      <w:pPr>
        <w:rPr>
          <w:b/>
          <w:bCs/>
        </w:rPr>
      </w:pPr>
      <w:r>
        <w:rPr>
          <w:b/>
          <w:bCs/>
        </w:rPr>
        <w:tab/>
      </w:r>
      <w:r w:rsidR="00A8645F">
        <w:rPr>
          <w:b/>
          <w:bCs/>
        </w:rPr>
        <w:br w:type="page"/>
      </w:r>
    </w:p>
    <w:p w14:paraId="6550A591" w14:textId="739715B9" w:rsidR="00401FA1" w:rsidRPr="00401FA1" w:rsidRDefault="00401FA1" w:rsidP="00A947A2">
      <w:pPr>
        <w:spacing w:line="480" w:lineRule="auto"/>
        <w:rPr>
          <w:b/>
          <w:bCs/>
        </w:rPr>
      </w:pPr>
      <w:r>
        <w:rPr>
          <w:b/>
          <w:bCs/>
        </w:rPr>
        <w:lastRenderedPageBreak/>
        <w:t>References</w:t>
      </w:r>
    </w:p>
    <w:p w14:paraId="716A9596" w14:textId="783F4790" w:rsidR="00401FA1" w:rsidRDefault="00A8645F" w:rsidP="00A8645F">
      <w:pPr>
        <w:pStyle w:val="ListParagraph"/>
        <w:numPr>
          <w:ilvl w:val="0"/>
          <w:numId w:val="1"/>
        </w:numPr>
        <w:spacing w:line="480" w:lineRule="auto"/>
        <w:rPr>
          <w:rFonts w:ascii="Times New Roman" w:hAnsi="Times New Roman" w:cs="Times New Roman"/>
        </w:rPr>
      </w:pPr>
      <w:r w:rsidRPr="00A8645F">
        <w:rPr>
          <w:rFonts w:ascii="Times New Roman" w:hAnsi="Times New Roman" w:cs="Times New Roman"/>
        </w:rPr>
        <w:t>Medina M, Castillo-Pino E. An introduction to the epidemiology and burden of urinary tract infections. </w:t>
      </w:r>
      <w:r w:rsidRPr="00A8645F">
        <w:rPr>
          <w:rFonts w:ascii="Times New Roman" w:hAnsi="Times New Roman" w:cs="Times New Roman"/>
          <w:i/>
          <w:iCs/>
        </w:rPr>
        <w:t>Ther Adv Urol</w:t>
      </w:r>
      <w:r w:rsidRPr="00A8645F">
        <w:rPr>
          <w:rFonts w:ascii="Times New Roman" w:hAnsi="Times New Roman" w:cs="Times New Roman"/>
        </w:rPr>
        <w:t xml:space="preserve">. </w:t>
      </w:r>
      <w:proofErr w:type="gramStart"/>
      <w:r w:rsidRPr="00A8645F">
        <w:rPr>
          <w:rFonts w:ascii="Times New Roman" w:hAnsi="Times New Roman" w:cs="Times New Roman"/>
        </w:rPr>
        <w:t>2019;11:1756287219832172</w:t>
      </w:r>
      <w:proofErr w:type="gramEnd"/>
      <w:r w:rsidRPr="00A8645F">
        <w:rPr>
          <w:rFonts w:ascii="Times New Roman" w:hAnsi="Times New Roman" w:cs="Times New Roman"/>
        </w:rPr>
        <w:t>. Published 2019 May 2. doi:10.1177/1756287219832172</w:t>
      </w:r>
    </w:p>
    <w:p w14:paraId="740FC7CB" w14:textId="3D5961F6" w:rsidR="00A8645F" w:rsidRDefault="00A8645F" w:rsidP="00A8645F">
      <w:pPr>
        <w:pStyle w:val="ListParagraph"/>
        <w:numPr>
          <w:ilvl w:val="0"/>
          <w:numId w:val="1"/>
        </w:numPr>
        <w:spacing w:line="480" w:lineRule="auto"/>
        <w:rPr>
          <w:rFonts w:ascii="Times New Roman" w:hAnsi="Times New Roman" w:cs="Times New Roman"/>
        </w:rPr>
      </w:pPr>
      <w:r w:rsidRPr="00A8645F">
        <w:rPr>
          <w:rFonts w:ascii="Times New Roman" w:hAnsi="Times New Roman" w:cs="Times New Roman"/>
        </w:rPr>
        <w:t xml:space="preserve">Asadi Karam MR, Habibi M, </w:t>
      </w:r>
      <w:proofErr w:type="spellStart"/>
      <w:r w:rsidRPr="00A8645F">
        <w:rPr>
          <w:rFonts w:ascii="Times New Roman" w:hAnsi="Times New Roman" w:cs="Times New Roman"/>
        </w:rPr>
        <w:t>Bouzari</w:t>
      </w:r>
      <w:proofErr w:type="spellEnd"/>
      <w:r w:rsidRPr="00A8645F">
        <w:rPr>
          <w:rFonts w:ascii="Times New Roman" w:hAnsi="Times New Roman" w:cs="Times New Roman"/>
        </w:rPr>
        <w:t xml:space="preserve"> S. Urinary tract infection: Pathogenicity, antibiotic resistance and development of effective vaccines against </w:t>
      </w:r>
      <w:proofErr w:type="spellStart"/>
      <w:r w:rsidRPr="00A8645F">
        <w:rPr>
          <w:rFonts w:ascii="Times New Roman" w:hAnsi="Times New Roman" w:cs="Times New Roman"/>
        </w:rPr>
        <w:t>Uropathogenic</w:t>
      </w:r>
      <w:proofErr w:type="spellEnd"/>
      <w:r w:rsidRPr="00A8645F">
        <w:rPr>
          <w:rFonts w:ascii="Times New Roman" w:hAnsi="Times New Roman" w:cs="Times New Roman"/>
        </w:rPr>
        <w:t xml:space="preserve"> Escherichia coli. </w:t>
      </w:r>
      <w:r w:rsidRPr="00A8645F">
        <w:rPr>
          <w:rFonts w:ascii="Times New Roman" w:hAnsi="Times New Roman" w:cs="Times New Roman"/>
          <w:i/>
          <w:iCs/>
        </w:rPr>
        <w:t>Mol Immunol</w:t>
      </w:r>
      <w:r w:rsidRPr="00A8645F">
        <w:rPr>
          <w:rFonts w:ascii="Times New Roman" w:hAnsi="Times New Roman" w:cs="Times New Roman"/>
        </w:rPr>
        <w:t xml:space="preserve">. </w:t>
      </w:r>
      <w:proofErr w:type="gramStart"/>
      <w:r w:rsidRPr="00A8645F">
        <w:rPr>
          <w:rFonts w:ascii="Times New Roman" w:hAnsi="Times New Roman" w:cs="Times New Roman"/>
        </w:rPr>
        <w:t>2019;108:56</w:t>
      </w:r>
      <w:proofErr w:type="gramEnd"/>
      <w:r w:rsidRPr="00A8645F">
        <w:rPr>
          <w:rFonts w:ascii="Times New Roman" w:hAnsi="Times New Roman" w:cs="Times New Roman"/>
        </w:rPr>
        <w:t xml:space="preserve">-67. </w:t>
      </w:r>
      <w:proofErr w:type="gramStart"/>
      <w:r w:rsidRPr="00A8645F">
        <w:rPr>
          <w:rFonts w:ascii="Times New Roman" w:hAnsi="Times New Roman" w:cs="Times New Roman"/>
        </w:rPr>
        <w:t>doi:10.1016/j.molimm</w:t>
      </w:r>
      <w:proofErr w:type="gramEnd"/>
      <w:r w:rsidRPr="00A8645F">
        <w:rPr>
          <w:rFonts w:ascii="Times New Roman" w:hAnsi="Times New Roman" w:cs="Times New Roman"/>
        </w:rPr>
        <w:t>.2019.02.007</w:t>
      </w:r>
    </w:p>
    <w:p w14:paraId="59710A45" w14:textId="22AD51B5" w:rsidR="00A8645F" w:rsidRDefault="00A8645F"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A8645F">
        <w:rPr>
          <w:rFonts w:ascii="Times New Roman" w:eastAsia="Times New Roman" w:hAnsi="Times New Roman" w:cs="Times New Roman"/>
          <w:color w:val="000000"/>
          <w:kern w:val="0"/>
          <w14:ligatures w14:val="none"/>
        </w:rPr>
        <w:t xml:space="preserve">Aggarwal N, </w:t>
      </w:r>
      <w:proofErr w:type="spellStart"/>
      <w:r w:rsidRPr="00A8645F">
        <w:rPr>
          <w:rFonts w:ascii="Times New Roman" w:eastAsia="Times New Roman" w:hAnsi="Times New Roman" w:cs="Times New Roman"/>
          <w:color w:val="000000"/>
          <w:kern w:val="0"/>
          <w14:ligatures w14:val="none"/>
        </w:rPr>
        <w:t>Lotfollahzadeh</w:t>
      </w:r>
      <w:proofErr w:type="spellEnd"/>
      <w:r w:rsidRPr="00A8645F">
        <w:rPr>
          <w:rFonts w:ascii="Times New Roman" w:eastAsia="Times New Roman" w:hAnsi="Times New Roman" w:cs="Times New Roman"/>
          <w:color w:val="000000"/>
          <w:kern w:val="0"/>
          <w14:ligatures w14:val="none"/>
        </w:rPr>
        <w:t xml:space="preserve"> S. Recurrent Urinary Tract Infections. PubMed. Published 2021. https://www.ncbi.nlm.nih.gov/books/NBK557479/#article-28284.s8</w:t>
      </w:r>
    </w:p>
    <w:p w14:paraId="1843CD3D" w14:textId="2F404E03" w:rsidR="00A8645F" w:rsidRDefault="00A8645F"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A8645F">
        <w:rPr>
          <w:rFonts w:ascii="Times New Roman" w:eastAsia="Times New Roman" w:hAnsi="Times New Roman" w:cs="Times New Roman"/>
          <w:color w:val="000000"/>
          <w:kern w:val="0"/>
          <w14:ligatures w14:val="none"/>
        </w:rPr>
        <w:t>Von Vietinghoff S, Shevchuk O, Dobrindt U, et al. The global burden of antimicrobial resistance - urinary tract infections. </w:t>
      </w:r>
      <w:r w:rsidRPr="00A8645F">
        <w:rPr>
          <w:rFonts w:ascii="Times New Roman" w:eastAsia="Times New Roman" w:hAnsi="Times New Roman" w:cs="Times New Roman"/>
          <w:i/>
          <w:iCs/>
          <w:color w:val="000000"/>
          <w:kern w:val="0"/>
          <w14:ligatures w14:val="none"/>
        </w:rPr>
        <w:t>Nephrol Dial Transplant</w:t>
      </w:r>
      <w:r w:rsidRPr="00A8645F">
        <w:rPr>
          <w:rFonts w:ascii="Times New Roman" w:eastAsia="Times New Roman" w:hAnsi="Times New Roman" w:cs="Times New Roman"/>
          <w:color w:val="000000"/>
          <w:kern w:val="0"/>
          <w14:ligatures w14:val="none"/>
        </w:rPr>
        <w:t>. 2024;39(4):581-588. doi:10.1093/</w:t>
      </w:r>
      <w:proofErr w:type="spellStart"/>
      <w:r w:rsidRPr="00A8645F">
        <w:rPr>
          <w:rFonts w:ascii="Times New Roman" w:eastAsia="Times New Roman" w:hAnsi="Times New Roman" w:cs="Times New Roman"/>
          <w:color w:val="000000"/>
          <w:kern w:val="0"/>
          <w14:ligatures w14:val="none"/>
        </w:rPr>
        <w:t>ndt</w:t>
      </w:r>
      <w:proofErr w:type="spellEnd"/>
      <w:r w:rsidRPr="00A8645F">
        <w:rPr>
          <w:rFonts w:ascii="Times New Roman" w:eastAsia="Times New Roman" w:hAnsi="Times New Roman" w:cs="Times New Roman"/>
          <w:color w:val="000000"/>
          <w:kern w:val="0"/>
          <w14:ligatures w14:val="none"/>
        </w:rPr>
        <w:t>/gfad233</w:t>
      </w:r>
    </w:p>
    <w:p w14:paraId="4BDEF00E" w14:textId="0FFD1BAC" w:rsidR="00EF66FC" w:rsidRDefault="00EF66FC"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EF66FC">
        <w:rPr>
          <w:rFonts w:ascii="Times New Roman" w:eastAsia="Times New Roman" w:hAnsi="Times New Roman" w:cs="Times New Roman"/>
          <w:color w:val="000000"/>
          <w:kern w:val="0"/>
          <w14:ligatures w14:val="none"/>
        </w:rPr>
        <w:t>Wang B, Wang Y, Liu H, et al. Current Scientific Advances in Vaccines Against UTIs: Challenges and Prospects. </w:t>
      </w:r>
      <w:r w:rsidRPr="00EF66FC">
        <w:rPr>
          <w:rFonts w:ascii="Times New Roman" w:eastAsia="Times New Roman" w:hAnsi="Times New Roman" w:cs="Times New Roman"/>
          <w:i/>
          <w:iCs/>
          <w:color w:val="000000"/>
          <w:kern w:val="0"/>
          <w14:ligatures w14:val="none"/>
        </w:rPr>
        <w:t>Microorganisms</w:t>
      </w:r>
      <w:r w:rsidRPr="00EF66FC">
        <w:rPr>
          <w:rFonts w:ascii="Times New Roman" w:eastAsia="Times New Roman" w:hAnsi="Times New Roman" w:cs="Times New Roman"/>
          <w:color w:val="000000"/>
          <w:kern w:val="0"/>
          <w14:ligatures w14:val="none"/>
        </w:rPr>
        <w:t>. 2025;13(12):2714. Published 2025 Nov 28. doi:10.3390/microorganisms13122714</w:t>
      </w:r>
    </w:p>
    <w:p w14:paraId="27F5D2A1" w14:textId="70FB4C0A" w:rsidR="001B703E" w:rsidRDefault="001B703E"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1B703E">
        <w:rPr>
          <w:rFonts w:ascii="Times New Roman" w:eastAsia="Times New Roman" w:hAnsi="Times New Roman" w:cs="Times New Roman"/>
          <w:color w:val="000000"/>
          <w:kern w:val="0"/>
          <w14:ligatures w14:val="none"/>
        </w:rPr>
        <w:t xml:space="preserve">Huttner A, Hatz C, van den </w:t>
      </w:r>
      <w:proofErr w:type="spellStart"/>
      <w:r w:rsidRPr="001B703E">
        <w:rPr>
          <w:rFonts w:ascii="Times New Roman" w:eastAsia="Times New Roman" w:hAnsi="Times New Roman" w:cs="Times New Roman"/>
          <w:color w:val="000000"/>
          <w:kern w:val="0"/>
          <w14:ligatures w14:val="none"/>
        </w:rPr>
        <w:t>Dobbelsteen</w:t>
      </w:r>
      <w:proofErr w:type="spellEnd"/>
      <w:r w:rsidRPr="001B703E">
        <w:rPr>
          <w:rFonts w:ascii="Times New Roman" w:eastAsia="Times New Roman" w:hAnsi="Times New Roman" w:cs="Times New Roman"/>
          <w:color w:val="000000"/>
          <w:kern w:val="0"/>
          <w14:ligatures w14:val="none"/>
        </w:rPr>
        <w:t xml:space="preserve"> G, et al. Safety, immunogenicity, and preliminary clinical efficacy of a vaccine against extraintestinal pathogenic Escherichia coli in women with a history of recurrent urinary tract infection: a </w:t>
      </w:r>
      <w:proofErr w:type="spellStart"/>
      <w:r w:rsidRPr="001B703E">
        <w:rPr>
          <w:rFonts w:ascii="Times New Roman" w:eastAsia="Times New Roman" w:hAnsi="Times New Roman" w:cs="Times New Roman"/>
          <w:color w:val="000000"/>
          <w:kern w:val="0"/>
          <w14:ligatures w14:val="none"/>
        </w:rPr>
        <w:t>randomised</w:t>
      </w:r>
      <w:proofErr w:type="spellEnd"/>
      <w:r w:rsidRPr="001B703E">
        <w:rPr>
          <w:rFonts w:ascii="Times New Roman" w:eastAsia="Times New Roman" w:hAnsi="Times New Roman" w:cs="Times New Roman"/>
          <w:color w:val="000000"/>
          <w:kern w:val="0"/>
          <w14:ligatures w14:val="none"/>
        </w:rPr>
        <w:t>, single-blind, placebo-controlled phase 1b trial. </w:t>
      </w:r>
      <w:r w:rsidRPr="001B703E">
        <w:rPr>
          <w:rFonts w:ascii="Times New Roman" w:eastAsia="Times New Roman" w:hAnsi="Times New Roman" w:cs="Times New Roman"/>
          <w:i/>
          <w:iCs/>
          <w:color w:val="000000"/>
          <w:kern w:val="0"/>
          <w14:ligatures w14:val="none"/>
        </w:rPr>
        <w:t>Lancet Infect Dis</w:t>
      </w:r>
      <w:r w:rsidRPr="001B703E">
        <w:rPr>
          <w:rFonts w:ascii="Times New Roman" w:eastAsia="Times New Roman" w:hAnsi="Times New Roman" w:cs="Times New Roman"/>
          <w:color w:val="000000"/>
          <w:kern w:val="0"/>
          <w14:ligatures w14:val="none"/>
        </w:rPr>
        <w:t>. 2017;17(5):528-537. doi:10.1016/S1473-3099(17)30108-1</w:t>
      </w:r>
    </w:p>
    <w:p w14:paraId="4DA3A10B" w14:textId="263D442D" w:rsidR="000D7000" w:rsidRDefault="000D7000"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0D7000">
        <w:rPr>
          <w:rFonts w:ascii="Times New Roman" w:eastAsia="Times New Roman" w:hAnsi="Times New Roman" w:cs="Times New Roman"/>
          <w:color w:val="000000"/>
          <w:kern w:val="0"/>
          <w14:ligatures w14:val="none"/>
        </w:rPr>
        <w:t>Lopes FA, Miranda M, Ye A, et al. Immunoprophylaxis with MV140 Is Effective in the Reduction of Urinary Tract Infections-A Prospective Real-Life Study. Vaccines (Basel). 2024;12(12):1426. Published 2024 Dec 18. doi:10.3390/vaccines12121426</w:t>
      </w:r>
    </w:p>
    <w:p w14:paraId="5DC3006B" w14:textId="565164BE" w:rsidR="000D7000" w:rsidRDefault="00746473"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746473">
        <w:rPr>
          <w:rFonts w:ascii="Times New Roman" w:eastAsia="Times New Roman" w:hAnsi="Times New Roman" w:cs="Times New Roman"/>
          <w:color w:val="000000"/>
          <w:kern w:val="0"/>
          <w14:ligatures w14:val="none"/>
        </w:rPr>
        <w:lastRenderedPageBreak/>
        <w:t>Brodie A, El-Taji O, Jour I, Foley C, Hanbury D. A Retrospective Study of Immunotherapy Treatment with Uro-</w:t>
      </w:r>
      <w:proofErr w:type="spellStart"/>
      <w:r w:rsidRPr="00746473">
        <w:rPr>
          <w:rFonts w:ascii="Times New Roman" w:eastAsia="Times New Roman" w:hAnsi="Times New Roman" w:cs="Times New Roman"/>
          <w:color w:val="000000"/>
          <w:kern w:val="0"/>
          <w14:ligatures w14:val="none"/>
        </w:rPr>
        <w:t>Vaxom</w:t>
      </w:r>
      <w:proofErr w:type="spellEnd"/>
      <w:r w:rsidRPr="00746473">
        <w:rPr>
          <w:rFonts w:ascii="Times New Roman" w:eastAsia="Times New Roman" w:hAnsi="Times New Roman" w:cs="Times New Roman"/>
          <w:color w:val="000000"/>
          <w:kern w:val="0"/>
          <w14:ligatures w14:val="none"/>
        </w:rPr>
        <w:t xml:space="preserve"> (OM-89®) for Prophylaxis of Recurrent Urinary Tract Infections. Curr Urol. 2020;14(3):130-134. doi:10.1159/000499248</w:t>
      </w:r>
    </w:p>
    <w:p w14:paraId="4193D369" w14:textId="7A094176" w:rsidR="00B72402" w:rsidRDefault="00B72402"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B72402">
        <w:rPr>
          <w:rFonts w:ascii="Times New Roman" w:eastAsia="Times New Roman" w:hAnsi="Times New Roman" w:cs="Times New Roman"/>
          <w:color w:val="000000"/>
          <w:kern w:val="0"/>
          <w14:ligatures w14:val="none"/>
        </w:rPr>
        <w:t xml:space="preserve">Doiron RC, Cotechini T, Nickel JC. It’s Time to Embrace Vaccination as We Enter the </w:t>
      </w:r>
      <w:proofErr w:type="spellStart"/>
      <w:r w:rsidRPr="00B72402">
        <w:rPr>
          <w:rFonts w:ascii="Times New Roman" w:eastAsia="Times New Roman" w:hAnsi="Times New Roman" w:cs="Times New Roman"/>
          <w:color w:val="000000"/>
          <w:kern w:val="0"/>
          <w14:ligatures w14:val="none"/>
        </w:rPr>
        <w:t>Postantibiotic</w:t>
      </w:r>
      <w:proofErr w:type="spellEnd"/>
      <w:r w:rsidRPr="00B72402">
        <w:rPr>
          <w:rFonts w:ascii="Times New Roman" w:eastAsia="Times New Roman" w:hAnsi="Times New Roman" w:cs="Times New Roman"/>
          <w:color w:val="000000"/>
          <w:kern w:val="0"/>
          <w14:ligatures w14:val="none"/>
        </w:rPr>
        <w:t xml:space="preserve"> Era of Recurrent Urinary Tract Infection Management. J Urol. 2024;211(6):797-799. doi:10.1097/JU.0000000000003969</w:t>
      </w:r>
    </w:p>
    <w:p w14:paraId="042883EA" w14:textId="29C87587" w:rsidR="00F76F1C" w:rsidRDefault="00F76F1C"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F76F1C">
        <w:rPr>
          <w:rFonts w:ascii="Times New Roman" w:eastAsia="Times New Roman" w:hAnsi="Times New Roman" w:cs="Times New Roman"/>
          <w:color w:val="000000"/>
          <w:kern w:val="0"/>
          <w14:ligatures w14:val="none"/>
        </w:rPr>
        <w:t>Anger JT, Bixler BR, Holmes RS, Lee UJ, Santiago-Lastra Y, Selph SS. Updates to Recurrent Uncomplicated Urinary Tract Infections in Women: AUA/CUA/SUFU Guideline. </w:t>
      </w:r>
      <w:r w:rsidRPr="00F76F1C">
        <w:rPr>
          <w:rFonts w:ascii="Times New Roman" w:eastAsia="Times New Roman" w:hAnsi="Times New Roman" w:cs="Times New Roman"/>
          <w:i/>
          <w:iCs/>
          <w:color w:val="000000"/>
          <w:kern w:val="0"/>
          <w14:ligatures w14:val="none"/>
        </w:rPr>
        <w:t>J Urol</w:t>
      </w:r>
      <w:r w:rsidRPr="00F76F1C">
        <w:rPr>
          <w:rFonts w:ascii="Times New Roman" w:eastAsia="Times New Roman" w:hAnsi="Times New Roman" w:cs="Times New Roman"/>
          <w:color w:val="000000"/>
          <w:kern w:val="0"/>
          <w14:ligatures w14:val="none"/>
        </w:rPr>
        <w:t>. 2022;208(3):536-541. doi:10.1097/JU.0000000000002860</w:t>
      </w:r>
    </w:p>
    <w:p w14:paraId="4716B98C" w14:textId="495F68A1" w:rsidR="00F76F1C" w:rsidRDefault="009719EF"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proofErr w:type="spellStart"/>
      <w:r w:rsidRPr="009719EF">
        <w:rPr>
          <w:rFonts w:ascii="Times New Roman" w:eastAsia="Times New Roman" w:hAnsi="Times New Roman" w:cs="Times New Roman"/>
          <w:color w:val="000000"/>
          <w:kern w:val="0"/>
          <w14:ligatures w14:val="none"/>
        </w:rPr>
        <w:t>Prattley</w:t>
      </w:r>
      <w:proofErr w:type="spellEnd"/>
      <w:r w:rsidRPr="009719EF">
        <w:rPr>
          <w:rFonts w:ascii="Times New Roman" w:eastAsia="Times New Roman" w:hAnsi="Times New Roman" w:cs="Times New Roman"/>
          <w:color w:val="000000"/>
          <w:kern w:val="0"/>
          <w14:ligatures w14:val="none"/>
        </w:rPr>
        <w:t xml:space="preserve"> S, Geraghty R, Moore M, Somani BK. Role of Vaccines for Recurrent Urinary Tract Infections: A Systematic Review. </w:t>
      </w:r>
      <w:proofErr w:type="spellStart"/>
      <w:r w:rsidRPr="009719EF">
        <w:rPr>
          <w:rFonts w:ascii="Times New Roman" w:eastAsia="Times New Roman" w:hAnsi="Times New Roman" w:cs="Times New Roman"/>
          <w:color w:val="000000"/>
          <w:kern w:val="0"/>
          <w14:ligatures w14:val="none"/>
        </w:rPr>
        <w:t>Eur</w:t>
      </w:r>
      <w:proofErr w:type="spellEnd"/>
      <w:r w:rsidRPr="009719EF">
        <w:rPr>
          <w:rFonts w:ascii="Times New Roman" w:eastAsia="Times New Roman" w:hAnsi="Times New Roman" w:cs="Times New Roman"/>
          <w:color w:val="000000"/>
          <w:kern w:val="0"/>
          <w14:ligatures w14:val="none"/>
        </w:rPr>
        <w:t xml:space="preserve"> </w:t>
      </w:r>
      <w:proofErr w:type="spellStart"/>
      <w:r w:rsidRPr="009719EF">
        <w:rPr>
          <w:rFonts w:ascii="Times New Roman" w:eastAsia="Times New Roman" w:hAnsi="Times New Roman" w:cs="Times New Roman"/>
          <w:color w:val="000000"/>
          <w:kern w:val="0"/>
          <w14:ligatures w14:val="none"/>
        </w:rPr>
        <w:t>Urol</w:t>
      </w:r>
      <w:proofErr w:type="spellEnd"/>
      <w:r w:rsidRPr="009719EF">
        <w:rPr>
          <w:rFonts w:ascii="Times New Roman" w:eastAsia="Times New Roman" w:hAnsi="Times New Roman" w:cs="Times New Roman"/>
          <w:color w:val="000000"/>
          <w:kern w:val="0"/>
          <w14:ligatures w14:val="none"/>
        </w:rPr>
        <w:t xml:space="preserve"> Focus. 2020;6(3):593-604. </w:t>
      </w:r>
      <w:proofErr w:type="gramStart"/>
      <w:r w:rsidRPr="009719EF">
        <w:rPr>
          <w:rFonts w:ascii="Times New Roman" w:eastAsia="Times New Roman" w:hAnsi="Times New Roman" w:cs="Times New Roman"/>
          <w:color w:val="000000"/>
          <w:kern w:val="0"/>
          <w14:ligatures w14:val="none"/>
        </w:rPr>
        <w:t>doi:10.1016/j.euf</w:t>
      </w:r>
      <w:proofErr w:type="gramEnd"/>
      <w:r w:rsidRPr="009719EF">
        <w:rPr>
          <w:rFonts w:ascii="Times New Roman" w:eastAsia="Times New Roman" w:hAnsi="Times New Roman" w:cs="Times New Roman"/>
          <w:color w:val="000000"/>
          <w:kern w:val="0"/>
          <w14:ligatures w14:val="none"/>
        </w:rPr>
        <w:t>.2019.11.002</w:t>
      </w:r>
    </w:p>
    <w:p w14:paraId="544EAF1D" w14:textId="5FC9C8C2" w:rsidR="00016597" w:rsidRDefault="00016597"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016597">
        <w:rPr>
          <w:rFonts w:ascii="Times New Roman" w:eastAsia="Times New Roman" w:hAnsi="Times New Roman" w:cs="Times New Roman"/>
          <w:color w:val="000000"/>
          <w:kern w:val="0"/>
          <w14:ligatures w14:val="none"/>
        </w:rPr>
        <w:t xml:space="preserve">Laxminarayan R, </w:t>
      </w:r>
      <w:proofErr w:type="spellStart"/>
      <w:r w:rsidRPr="00016597">
        <w:rPr>
          <w:rFonts w:ascii="Times New Roman" w:eastAsia="Times New Roman" w:hAnsi="Times New Roman" w:cs="Times New Roman"/>
          <w:color w:val="000000"/>
          <w:kern w:val="0"/>
          <w14:ligatures w14:val="none"/>
        </w:rPr>
        <w:t>Impalli</w:t>
      </w:r>
      <w:proofErr w:type="spellEnd"/>
      <w:r w:rsidRPr="00016597">
        <w:rPr>
          <w:rFonts w:ascii="Times New Roman" w:eastAsia="Times New Roman" w:hAnsi="Times New Roman" w:cs="Times New Roman"/>
          <w:color w:val="000000"/>
          <w:kern w:val="0"/>
          <w14:ligatures w14:val="none"/>
        </w:rPr>
        <w:t xml:space="preserve"> I, Rangarajan R, et al. Expanding antibiotic, vaccine, and diagnostics development and access to tackle antimicrobial resistance. Lancet. 2024;403(10443):2534-2550. doi:10.1016/S0140-6736(24)00878-X</w:t>
      </w:r>
    </w:p>
    <w:p w14:paraId="1A09E6BC" w14:textId="76533421" w:rsidR="00016597" w:rsidRDefault="00EB3A27"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EB3A27">
        <w:rPr>
          <w:rFonts w:ascii="Times New Roman" w:eastAsia="Times New Roman" w:hAnsi="Times New Roman" w:cs="Times New Roman"/>
          <w:color w:val="000000"/>
          <w:kern w:val="0"/>
          <w14:ligatures w14:val="none"/>
        </w:rPr>
        <w:t>Kim C, Holm M, Frost I, Hasso-</w:t>
      </w:r>
      <w:proofErr w:type="spellStart"/>
      <w:r w:rsidRPr="00EB3A27">
        <w:rPr>
          <w:rFonts w:ascii="Times New Roman" w:eastAsia="Times New Roman" w:hAnsi="Times New Roman" w:cs="Times New Roman"/>
          <w:color w:val="000000"/>
          <w:kern w:val="0"/>
          <w14:ligatures w14:val="none"/>
        </w:rPr>
        <w:t>Agopsowicz</w:t>
      </w:r>
      <w:proofErr w:type="spellEnd"/>
      <w:r w:rsidRPr="00EB3A27">
        <w:rPr>
          <w:rFonts w:ascii="Times New Roman" w:eastAsia="Times New Roman" w:hAnsi="Times New Roman" w:cs="Times New Roman"/>
          <w:color w:val="000000"/>
          <w:kern w:val="0"/>
          <w14:ligatures w14:val="none"/>
        </w:rPr>
        <w:t xml:space="preserve"> M, Abbas K. Global and regional burden of attributable and associated bacterial antimicrobial resistance avertable by vaccination: modelling study. BMJ Glob Health. 2023;8(7</w:t>
      </w:r>
      <w:proofErr w:type="gramStart"/>
      <w:r w:rsidRPr="00EB3A27">
        <w:rPr>
          <w:rFonts w:ascii="Times New Roman" w:eastAsia="Times New Roman" w:hAnsi="Times New Roman" w:cs="Times New Roman"/>
          <w:color w:val="000000"/>
          <w:kern w:val="0"/>
          <w14:ligatures w14:val="none"/>
        </w:rPr>
        <w:t>):e</w:t>
      </w:r>
      <w:proofErr w:type="gramEnd"/>
      <w:r w:rsidRPr="00EB3A27">
        <w:rPr>
          <w:rFonts w:ascii="Times New Roman" w:eastAsia="Times New Roman" w:hAnsi="Times New Roman" w:cs="Times New Roman"/>
          <w:color w:val="000000"/>
          <w:kern w:val="0"/>
          <w14:ligatures w14:val="none"/>
        </w:rPr>
        <w:t>011341. doi:10.1136/bmjgh-2022-011341</w:t>
      </w:r>
    </w:p>
    <w:p w14:paraId="3C3F9BE9" w14:textId="7EB6FCE5" w:rsidR="00EB3A27" w:rsidRDefault="00E977C5"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E977C5">
        <w:rPr>
          <w:rFonts w:ascii="Times New Roman" w:eastAsia="Times New Roman" w:hAnsi="Times New Roman" w:cs="Times New Roman"/>
          <w:color w:val="000000"/>
          <w:kern w:val="0"/>
          <w14:ligatures w14:val="none"/>
        </w:rPr>
        <w:t xml:space="preserve">Smith AL, Brown J, Wyman JF, Berry A, Newman DK, Stapleton AE. Treatment and Prevention of Recurrent Lower Urinary Tract Infections in Women: A Rapid Review with Practice Recommendations. J Urol. 2018;200(6):1174-1191. </w:t>
      </w:r>
      <w:proofErr w:type="gramStart"/>
      <w:r w:rsidRPr="00E977C5">
        <w:rPr>
          <w:rFonts w:ascii="Times New Roman" w:eastAsia="Times New Roman" w:hAnsi="Times New Roman" w:cs="Times New Roman"/>
          <w:color w:val="000000"/>
          <w:kern w:val="0"/>
          <w14:ligatures w14:val="none"/>
        </w:rPr>
        <w:t>doi:10.1016/j.juro</w:t>
      </w:r>
      <w:proofErr w:type="gramEnd"/>
      <w:r w:rsidRPr="00E977C5">
        <w:rPr>
          <w:rFonts w:ascii="Times New Roman" w:eastAsia="Times New Roman" w:hAnsi="Times New Roman" w:cs="Times New Roman"/>
          <w:color w:val="000000"/>
          <w:kern w:val="0"/>
          <w14:ligatures w14:val="none"/>
        </w:rPr>
        <w:t>.2018.04.088</w:t>
      </w:r>
    </w:p>
    <w:p w14:paraId="35E5B4C4" w14:textId="59AC6B1F" w:rsidR="00E977C5" w:rsidRDefault="008E64D1"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8E64D1">
        <w:rPr>
          <w:rFonts w:ascii="Times New Roman" w:eastAsia="Times New Roman" w:hAnsi="Times New Roman" w:cs="Times New Roman"/>
          <w:color w:val="000000"/>
          <w:kern w:val="0"/>
          <w14:ligatures w14:val="none"/>
        </w:rPr>
        <w:lastRenderedPageBreak/>
        <w:t>Renard J, Ballarini S, Mascarenhas T, et al. Recurrent Lower Urinary Tract Infections Have a Detrimental Effect on Patient Quality of Life: a Prospective, Observational Study. Infect Dis Ther. Published online December 18, 2014. doi:10.1007/s40121-014-0054-6</w:t>
      </w:r>
    </w:p>
    <w:p w14:paraId="33F664CA" w14:textId="1904C9CF" w:rsidR="008E64D1" w:rsidRDefault="007D04F6"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7D04F6">
        <w:rPr>
          <w:rFonts w:ascii="Times New Roman" w:eastAsia="Times New Roman" w:hAnsi="Times New Roman" w:cs="Times New Roman"/>
          <w:color w:val="000000"/>
          <w:kern w:val="0"/>
          <w14:ligatures w14:val="none"/>
        </w:rPr>
        <w:t>Advani SD, Thaden JT, Perez R, Stair SL, Lee UJ, Siddiqui NY. State-of-the-Art Review: Recurrent Uncomplicated Urinary Tract Infections in Women. Clin Infect Dis. 2025;80(3</w:t>
      </w:r>
      <w:proofErr w:type="gramStart"/>
      <w:r w:rsidRPr="007D04F6">
        <w:rPr>
          <w:rFonts w:ascii="Times New Roman" w:eastAsia="Times New Roman" w:hAnsi="Times New Roman" w:cs="Times New Roman"/>
          <w:color w:val="000000"/>
          <w:kern w:val="0"/>
          <w14:ligatures w14:val="none"/>
        </w:rPr>
        <w:t>):e</w:t>
      </w:r>
      <w:proofErr w:type="gramEnd"/>
      <w:r w:rsidRPr="007D04F6">
        <w:rPr>
          <w:rFonts w:ascii="Times New Roman" w:eastAsia="Times New Roman" w:hAnsi="Times New Roman" w:cs="Times New Roman"/>
          <w:color w:val="000000"/>
          <w:kern w:val="0"/>
          <w14:ligatures w14:val="none"/>
        </w:rPr>
        <w:t>31-e42. doi:10.1093/</w:t>
      </w:r>
      <w:proofErr w:type="spellStart"/>
      <w:r w:rsidRPr="007D04F6">
        <w:rPr>
          <w:rFonts w:ascii="Times New Roman" w:eastAsia="Times New Roman" w:hAnsi="Times New Roman" w:cs="Times New Roman"/>
          <w:color w:val="000000"/>
          <w:kern w:val="0"/>
          <w14:ligatures w14:val="none"/>
        </w:rPr>
        <w:t>cid</w:t>
      </w:r>
      <w:proofErr w:type="spellEnd"/>
      <w:r w:rsidRPr="007D04F6">
        <w:rPr>
          <w:rFonts w:ascii="Times New Roman" w:eastAsia="Times New Roman" w:hAnsi="Times New Roman" w:cs="Times New Roman"/>
          <w:color w:val="000000"/>
          <w:kern w:val="0"/>
          <w14:ligatures w14:val="none"/>
        </w:rPr>
        <w:t>/ciae653</w:t>
      </w:r>
    </w:p>
    <w:p w14:paraId="1ACD2F8A" w14:textId="1D9CFC29" w:rsidR="007D04F6" w:rsidRDefault="00B235A5"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B235A5">
        <w:rPr>
          <w:rFonts w:ascii="Times New Roman" w:eastAsia="Times New Roman" w:hAnsi="Times New Roman" w:cs="Times New Roman"/>
          <w:color w:val="000000"/>
          <w:kern w:val="0"/>
          <w14:ligatures w14:val="none"/>
        </w:rPr>
        <w:t>Antimicrobial Resistance Collaborators. Global burden of bacterial antimicrobial resistance in 2019: a systematic analysis. Lancet. 2022;399(10325):629-655. doi:10.1016/S0140-6736(21)02724-0</w:t>
      </w:r>
    </w:p>
    <w:p w14:paraId="05204B52" w14:textId="28DA59FF" w:rsidR="00E2582B" w:rsidRDefault="008643E7"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8643E7">
        <w:rPr>
          <w:rFonts w:ascii="Times New Roman" w:eastAsia="Times New Roman" w:hAnsi="Times New Roman" w:cs="Times New Roman"/>
          <w:color w:val="000000"/>
          <w:kern w:val="0"/>
          <w14:ligatures w14:val="none"/>
        </w:rPr>
        <w:t xml:space="preserve">Gaitonde S, Malik RD, Zimmern PE. Financial Burden of Recurrent Urinary Tract Infections in Women: A Time-driven Activity-based Cost Analysis. Urology. </w:t>
      </w:r>
      <w:proofErr w:type="gramStart"/>
      <w:r w:rsidRPr="008643E7">
        <w:rPr>
          <w:rFonts w:ascii="Times New Roman" w:eastAsia="Times New Roman" w:hAnsi="Times New Roman" w:cs="Times New Roman"/>
          <w:color w:val="000000"/>
          <w:kern w:val="0"/>
          <w14:ligatures w14:val="none"/>
        </w:rPr>
        <w:t>2019;128:47</w:t>
      </w:r>
      <w:proofErr w:type="gramEnd"/>
      <w:r w:rsidRPr="008643E7">
        <w:rPr>
          <w:rFonts w:ascii="Times New Roman" w:eastAsia="Times New Roman" w:hAnsi="Times New Roman" w:cs="Times New Roman"/>
          <w:color w:val="000000"/>
          <w:kern w:val="0"/>
          <w14:ligatures w14:val="none"/>
        </w:rPr>
        <w:t xml:space="preserve">-54. </w:t>
      </w:r>
      <w:proofErr w:type="gramStart"/>
      <w:r w:rsidRPr="008643E7">
        <w:rPr>
          <w:rFonts w:ascii="Times New Roman" w:eastAsia="Times New Roman" w:hAnsi="Times New Roman" w:cs="Times New Roman"/>
          <w:color w:val="000000"/>
          <w:kern w:val="0"/>
          <w14:ligatures w14:val="none"/>
        </w:rPr>
        <w:t>doi:10.1016/j.urology</w:t>
      </w:r>
      <w:proofErr w:type="gramEnd"/>
      <w:r w:rsidRPr="008643E7">
        <w:rPr>
          <w:rFonts w:ascii="Times New Roman" w:eastAsia="Times New Roman" w:hAnsi="Times New Roman" w:cs="Times New Roman"/>
          <w:color w:val="000000"/>
          <w:kern w:val="0"/>
          <w14:ligatures w14:val="none"/>
        </w:rPr>
        <w:t>.2019.01.031</w:t>
      </w:r>
    </w:p>
    <w:p w14:paraId="18118A34" w14:textId="2927FCEB" w:rsidR="00B235A5" w:rsidRDefault="00E2582B" w:rsidP="00A8645F">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E2582B">
        <w:rPr>
          <w:rFonts w:ascii="Times New Roman" w:eastAsia="Times New Roman" w:hAnsi="Times New Roman" w:cs="Times New Roman"/>
          <w:color w:val="000000"/>
          <w:kern w:val="0"/>
          <w14:ligatures w14:val="none"/>
        </w:rPr>
        <w:t xml:space="preserve">Hernández-Sánchez JE, </w:t>
      </w:r>
      <w:proofErr w:type="spellStart"/>
      <w:r w:rsidRPr="00E2582B">
        <w:rPr>
          <w:rFonts w:ascii="Times New Roman" w:eastAsia="Times New Roman" w:hAnsi="Times New Roman" w:cs="Times New Roman"/>
          <w:color w:val="000000"/>
          <w:kern w:val="0"/>
          <w14:ligatures w14:val="none"/>
        </w:rPr>
        <w:t>Szczesnieski</w:t>
      </w:r>
      <w:proofErr w:type="spellEnd"/>
      <w:r w:rsidRPr="00E2582B">
        <w:rPr>
          <w:rFonts w:ascii="Times New Roman" w:eastAsia="Times New Roman" w:hAnsi="Times New Roman" w:cs="Times New Roman"/>
          <w:color w:val="000000"/>
          <w:kern w:val="0"/>
          <w14:ligatures w14:val="none"/>
        </w:rPr>
        <w:t xml:space="preserve"> JJ, Padilla-Fernández BY, González-</w:t>
      </w:r>
      <w:proofErr w:type="spellStart"/>
      <w:r w:rsidRPr="00E2582B">
        <w:rPr>
          <w:rFonts w:ascii="Times New Roman" w:eastAsia="Times New Roman" w:hAnsi="Times New Roman" w:cs="Times New Roman"/>
          <w:color w:val="000000"/>
          <w:kern w:val="0"/>
          <w14:ligatures w14:val="none"/>
        </w:rPr>
        <w:t>Enguita</w:t>
      </w:r>
      <w:proofErr w:type="spellEnd"/>
      <w:r w:rsidRPr="00E2582B">
        <w:rPr>
          <w:rFonts w:ascii="Times New Roman" w:eastAsia="Times New Roman" w:hAnsi="Times New Roman" w:cs="Times New Roman"/>
          <w:color w:val="000000"/>
          <w:kern w:val="0"/>
          <w14:ligatures w14:val="none"/>
        </w:rPr>
        <w:t xml:space="preserve"> C, Flores-Fraile J, Lorenzo-Gómez MF. Evaluation and Analysis of Costs Associated with Prophylaxis of Recurrent Urinary Tract Infections (RUTIs) in Women. Microorganisms. 2025;13(2):393. Published 2025 Feb 11. doi:10.3390/microorganisms13020393</w:t>
      </w:r>
    </w:p>
    <w:p w14:paraId="2A46F418" w14:textId="5DAA541C" w:rsidR="00A947A2" w:rsidRPr="00F7660D" w:rsidRDefault="007A667A" w:rsidP="00A947A2">
      <w:pPr>
        <w:pStyle w:val="ListParagraph"/>
        <w:numPr>
          <w:ilvl w:val="0"/>
          <w:numId w:val="1"/>
        </w:numPr>
        <w:spacing w:after="0" w:line="480" w:lineRule="auto"/>
        <w:rPr>
          <w:rFonts w:ascii="Times New Roman" w:eastAsia="Times New Roman" w:hAnsi="Times New Roman" w:cs="Times New Roman"/>
          <w:color w:val="000000"/>
          <w:kern w:val="0"/>
          <w14:ligatures w14:val="none"/>
        </w:rPr>
      </w:pPr>
      <w:r w:rsidRPr="007A667A">
        <w:rPr>
          <w:rFonts w:ascii="Times New Roman" w:eastAsia="Times New Roman" w:hAnsi="Times New Roman" w:cs="Times New Roman"/>
          <w:color w:val="000000"/>
          <w:kern w:val="0"/>
          <w14:ligatures w14:val="none"/>
        </w:rPr>
        <w:t>Lorenzo-Gómez MF, Foley S, Nickel JC, et al. Sublingual MV140 for Prevention of Recurrent Urinary Tract Infections. NEJM Evid. 2022;1(4</w:t>
      </w:r>
      <w:proofErr w:type="gramStart"/>
      <w:r w:rsidRPr="007A667A">
        <w:rPr>
          <w:rFonts w:ascii="Times New Roman" w:eastAsia="Times New Roman" w:hAnsi="Times New Roman" w:cs="Times New Roman"/>
          <w:color w:val="000000"/>
          <w:kern w:val="0"/>
          <w14:ligatures w14:val="none"/>
        </w:rPr>
        <w:t>):EVIDoa</w:t>
      </w:r>
      <w:proofErr w:type="gramEnd"/>
      <w:r w:rsidRPr="007A667A">
        <w:rPr>
          <w:rFonts w:ascii="Times New Roman" w:eastAsia="Times New Roman" w:hAnsi="Times New Roman" w:cs="Times New Roman"/>
          <w:color w:val="000000"/>
          <w:kern w:val="0"/>
          <w14:ligatures w14:val="none"/>
        </w:rPr>
        <w:t>2100018. doi:10.1056/EVIDoa2100018</w:t>
      </w:r>
    </w:p>
    <w:sectPr w:rsidR="00A947A2" w:rsidRPr="00F7660D">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4F4F" w14:textId="77777777" w:rsidR="00C20D6F" w:rsidRDefault="00C20D6F" w:rsidP="00281FF8">
      <w:r>
        <w:separator/>
      </w:r>
    </w:p>
  </w:endnote>
  <w:endnote w:type="continuationSeparator" w:id="0">
    <w:p w14:paraId="54097AE3" w14:textId="77777777" w:rsidR="00C20D6F" w:rsidRDefault="00C20D6F" w:rsidP="0028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1C88" w14:textId="77777777" w:rsidR="00C20D6F" w:rsidRDefault="00C20D6F" w:rsidP="00281FF8">
      <w:r>
        <w:separator/>
      </w:r>
    </w:p>
  </w:footnote>
  <w:footnote w:type="continuationSeparator" w:id="0">
    <w:p w14:paraId="6F8BB531" w14:textId="77777777" w:rsidR="00C20D6F" w:rsidRDefault="00C20D6F" w:rsidP="0028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591155"/>
      <w:docPartObj>
        <w:docPartGallery w:val="Page Numbers (Top of Page)"/>
        <w:docPartUnique/>
      </w:docPartObj>
    </w:sdtPr>
    <w:sdtContent>
      <w:p w14:paraId="574E27F9" w14:textId="462B1C7D" w:rsidR="00281FF8" w:rsidRDefault="00281F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7E24D30" w14:textId="77777777" w:rsidR="00281FF8" w:rsidRDefault="00281FF8" w:rsidP="00281FF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258182603"/>
      <w:docPartObj>
        <w:docPartGallery w:val="Page Numbers (Top of Page)"/>
        <w:docPartUnique/>
      </w:docPartObj>
    </w:sdtPr>
    <w:sdtContent>
      <w:p w14:paraId="0EA32409" w14:textId="287B9B56" w:rsidR="00281FF8" w:rsidRPr="00B702C1" w:rsidRDefault="00281FF8">
        <w:pPr>
          <w:pStyle w:val="Header"/>
          <w:framePr w:wrap="none" w:vAnchor="text" w:hAnchor="margin" w:xAlign="right" w:y="1"/>
          <w:rPr>
            <w:rStyle w:val="PageNumber"/>
            <w:rFonts w:ascii="Times New Roman" w:hAnsi="Times New Roman" w:cs="Times New Roman"/>
          </w:rPr>
        </w:pPr>
        <w:r w:rsidRPr="00B702C1">
          <w:rPr>
            <w:rStyle w:val="PageNumber"/>
            <w:rFonts w:ascii="Times New Roman" w:hAnsi="Times New Roman" w:cs="Times New Roman"/>
          </w:rPr>
          <w:fldChar w:fldCharType="begin"/>
        </w:r>
        <w:r w:rsidRPr="00B702C1">
          <w:rPr>
            <w:rStyle w:val="PageNumber"/>
            <w:rFonts w:ascii="Times New Roman" w:hAnsi="Times New Roman" w:cs="Times New Roman"/>
          </w:rPr>
          <w:instrText xml:space="preserve"> PAGE </w:instrText>
        </w:r>
        <w:r w:rsidRPr="00B702C1">
          <w:rPr>
            <w:rStyle w:val="PageNumber"/>
            <w:rFonts w:ascii="Times New Roman" w:hAnsi="Times New Roman" w:cs="Times New Roman"/>
          </w:rPr>
          <w:fldChar w:fldCharType="separate"/>
        </w:r>
        <w:r w:rsidRPr="00B702C1">
          <w:rPr>
            <w:rStyle w:val="PageNumber"/>
            <w:rFonts w:ascii="Times New Roman" w:hAnsi="Times New Roman" w:cs="Times New Roman"/>
            <w:noProof/>
          </w:rPr>
          <w:t>2</w:t>
        </w:r>
        <w:r w:rsidRPr="00B702C1">
          <w:rPr>
            <w:rStyle w:val="PageNumber"/>
            <w:rFonts w:ascii="Times New Roman" w:hAnsi="Times New Roman" w:cs="Times New Roman"/>
          </w:rPr>
          <w:fldChar w:fldCharType="end"/>
        </w:r>
      </w:p>
    </w:sdtContent>
  </w:sdt>
  <w:p w14:paraId="4106CAFB" w14:textId="2CEC4E78" w:rsidR="00281FF8" w:rsidRPr="00281FF8" w:rsidRDefault="00281FF8" w:rsidP="00281FF8">
    <w:pPr>
      <w:pStyle w:val="Header"/>
      <w:ind w:left="3960" w:right="360"/>
      <w:rPr>
        <w:rFonts w:ascii="Times New Roman" w:hAnsi="Times New Roman" w:cs="Times New Roman"/>
      </w:rPr>
    </w:pPr>
    <w:r>
      <w:rPr>
        <w:rFonts w:ascii="Times New Roman" w:hAnsi="Times New Roman" w:cs="Times New Roman"/>
      </w:rPr>
      <w:tab/>
      <w:t xml:space="preserve">                                           A Shot at UTI Prevention     </w:t>
    </w:r>
  </w:p>
  <w:p w14:paraId="2B05577D" w14:textId="77777777" w:rsidR="00281FF8" w:rsidRDefault="00281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9336B"/>
    <w:multiLevelType w:val="hybridMultilevel"/>
    <w:tmpl w:val="0AA849D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58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24"/>
    <w:rsid w:val="00001A05"/>
    <w:rsid w:val="0000320B"/>
    <w:rsid w:val="00016597"/>
    <w:rsid w:val="000205C5"/>
    <w:rsid w:val="00035154"/>
    <w:rsid w:val="00055C9F"/>
    <w:rsid w:val="00065DAC"/>
    <w:rsid w:val="00070189"/>
    <w:rsid w:val="00071DBC"/>
    <w:rsid w:val="00077037"/>
    <w:rsid w:val="000802EB"/>
    <w:rsid w:val="00094D11"/>
    <w:rsid w:val="000965A8"/>
    <w:rsid w:val="000A2330"/>
    <w:rsid w:val="000B0836"/>
    <w:rsid w:val="000B1A33"/>
    <w:rsid w:val="000C380D"/>
    <w:rsid w:val="000C3834"/>
    <w:rsid w:val="000C49AE"/>
    <w:rsid w:val="000D3134"/>
    <w:rsid w:val="000D7000"/>
    <w:rsid w:val="000D7924"/>
    <w:rsid w:val="000E0CFA"/>
    <w:rsid w:val="000E52EC"/>
    <w:rsid w:val="000F4006"/>
    <w:rsid w:val="000F45D2"/>
    <w:rsid w:val="000F5338"/>
    <w:rsid w:val="001066C3"/>
    <w:rsid w:val="00106BB8"/>
    <w:rsid w:val="00110BEC"/>
    <w:rsid w:val="00110E16"/>
    <w:rsid w:val="001132C9"/>
    <w:rsid w:val="001152DC"/>
    <w:rsid w:val="00122E8A"/>
    <w:rsid w:val="00123C2B"/>
    <w:rsid w:val="00132E29"/>
    <w:rsid w:val="00136E7B"/>
    <w:rsid w:val="001370D9"/>
    <w:rsid w:val="00140E63"/>
    <w:rsid w:val="00142298"/>
    <w:rsid w:val="00143F32"/>
    <w:rsid w:val="001502E9"/>
    <w:rsid w:val="001656BE"/>
    <w:rsid w:val="001671D3"/>
    <w:rsid w:val="001708A0"/>
    <w:rsid w:val="00172854"/>
    <w:rsid w:val="00193F9B"/>
    <w:rsid w:val="00195C0B"/>
    <w:rsid w:val="001A7144"/>
    <w:rsid w:val="001B703E"/>
    <w:rsid w:val="001C154A"/>
    <w:rsid w:val="001C22CB"/>
    <w:rsid w:val="001C365B"/>
    <w:rsid w:val="001C76C5"/>
    <w:rsid w:val="001D29C0"/>
    <w:rsid w:val="001D6966"/>
    <w:rsid w:val="001E04C3"/>
    <w:rsid w:val="001E1B39"/>
    <w:rsid w:val="001E25FD"/>
    <w:rsid w:val="001F6366"/>
    <w:rsid w:val="00203CB5"/>
    <w:rsid w:val="0020639B"/>
    <w:rsid w:val="00221D8D"/>
    <w:rsid w:val="00223442"/>
    <w:rsid w:val="00230A6E"/>
    <w:rsid w:val="002343B0"/>
    <w:rsid w:val="00241780"/>
    <w:rsid w:val="00250332"/>
    <w:rsid w:val="002542B2"/>
    <w:rsid w:val="002555BE"/>
    <w:rsid w:val="00255966"/>
    <w:rsid w:val="002635B9"/>
    <w:rsid w:val="00264671"/>
    <w:rsid w:val="00272485"/>
    <w:rsid w:val="00281FF8"/>
    <w:rsid w:val="00283D15"/>
    <w:rsid w:val="00296F4D"/>
    <w:rsid w:val="002A095B"/>
    <w:rsid w:val="002A39FB"/>
    <w:rsid w:val="002A4719"/>
    <w:rsid w:val="002B1907"/>
    <w:rsid w:val="002C1250"/>
    <w:rsid w:val="002C212E"/>
    <w:rsid w:val="002C7A9E"/>
    <w:rsid w:val="002D3941"/>
    <w:rsid w:val="002D5E99"/>
    <w:rsid w:val="002D735D"/>
    <w:rsid w:val="002E202A"/>
    <w:rsid w:val="002F38F7"/>
    <w:rsid w:val="002F473E"/>
    <w:rsid w:val="002F4983"/>
    <w:rsid w:val="002F4E26"/>
    <w:rsid w:val="0030128C"/>
    <w:rsid w:val="00311D25"/>
    <w:rsid w:val="003208D6"/>
    <w:rsid w:val="003235DA"/>
    <w:rsid w:val="0032747F"/>
    <w:rsid w:val="003401CF"/>
    <w:rsid w:val="003428F3"/>
    <w:rsid w:val="00345D17"/>
    <w:rsid w:val="00346B19"/>
    <w:rsid w:val="00356DB8"/>
    <w:rsid w:val="00361D53"/>
    <w:rsid w:val="00361FAE"/>
    <w:rsid w:val="00372D30"/>
    <w:rsid w:val="00382A6E"/>
    <w:rsid w:val="003837E7"/>
    <w:rsid w:val="00395779"/>
    <w:rsid w:val="003A0C85"/>
    <w:rsid w:val="003A13C5"/>
    <w:rsid w:val="003A3C3A"/>
    <w:rsid w:val="003A5708"/>
    <w:rsid w:val="003A6A7C"/>
    <w:rsid w:val="003B3707"/>
    <w:rsid w:val="003C1F54"/>
    <w:rsid w:val="003C4E0F"/>
    <w:rsid w:val="003C72DE"/>
    <w:rsid w:val="003D1705"/>
    <w:rsid w:val="003D19F4"/>
    <w:rsid w:val="003D472C"/>
    <w:rsid w:val="003D6F24"/>
    <w:rsid w:val="003D7CB6"/>
    <w:rsid w:val="003E224B"/>
    <w:rsid w:val="003E364E"/>
    <w:rsid w:val="003E5F9E"/>
    <w:rsid w:val="003F42F9"/>
    <w:rsid w:val="00401FA1"/>
    <w:rsid w:val="004035C4"/>
    <w:rsid w:val="00404641"/>
    <w:rsid w:val="00407115"/>
    <w:rsid w:val="00416A3D"/>
    <w:rsid w:val="0042471C"/>
    <w:rsid w:val="00433A57"/>
    <w:rsid w:val="004435C9"/>
    <w:rsid w:val="0044545C"/>
    <w:rsid w:val="004470F8"/>
    <w:rsid w:val="00454065"/>
    <w:rsid w:val="00456706"/>
    <w:rsid w:val="00464BF0"/>
    <w:rsid w:val="004666D1"/>
    <w:rsid w:val="00470588"/>
    <w:rsid w:val="00472D3F"/>
    <w:rsid w:val="00474B0C"/>
    <w:rsid w:val="004764B2"/>
    <w:rsid w:val="00476E6E"/>
    <w:rsid w:val="00490523"/>
    <w:rsid w:val="0049314A"/>
    <w:rsid w:val="004A2440"/>
    <w:rsid w:val="004B2253"/>
    <w:rsid w:val="004C3583"/>
    <w:rsid w:val="004C62FE"/>
    <w:rsid w:val="004D1C9C"/>
    <w:rsid w:val="004D3748"/>
    <w:rsid w:val="004D798F"/>
    <w:rsid w:val="004E0643"/>
    <w:rsid w:val="004F254E"/>
    <w:rsid w:val="004F48AC"/>
    <w:rsid w:val="00505EC7"/>
    <w:rsid w:val="00505FD4"/>
    <w:rsid w:val="00520388"/>
    <w:rsid w:val="00523058"/>
    <w:rsid w:val="005234BE"/>
    <w:rsid w:val="00523885"/>
    <w:rsid w:val="0052654D"/>
    <w:rsid w:val="005328B2"/>
    <w:rsid w:val="00535A24"/>
    <w:rsid w:val="00536631"/>
    <w:rsid w:val="005372AC"/>
    <w:rsid w:val="00542BF9"/>
    <w:rsid w:val="00543949"/>
    <w:rsid w:val="00544513"/>
    <w:rsid w:val="00552AF5"/>
    <w:rsid w:val="00553C62"/>
    <w:rsid w:val="0056197E"/>
    <w:rsid w:val="00563941"/>
    <w:rsid w:val="00565ABE"/>
    <w:rsid w:val="00565B9F"/>
    <w:rsid w:val="00567E4E"/>
    <w:rsid w:val="00571710"/>
    <w:rsid w:val="0057190A"/>
    <w:rsid w:val="005745D3"/>
    <w:rsid w:val="00575E48"/>
    <w:rsid w:val="00596078"/>
    <w:rsid w:val="005A4315"/>
    <w:rsid w:val="005A4D85"/>
    <w:rsid w:val="005B2DF7"/>
    <w:rsid w:val="005C45BC"/>
    <w:rsid w:val="005D0D90"/>
    <w:rsid w:val="005D1958"/>
    <w:rsid w:val="005D3196"/>
    <w:rsid w:val="005D39A3"/>
    <w:rsid w:val="005E22DD"/>
    <w:rsid w:val="005F50BA"/>
    <w:rsid w:val="006066FB"/>
    <w:rsid w:val="00611C44"/>
    <w:rsid w:val="006217AC"/>
    <w:rsid w:val="00623368"/>
    <w:rsid w:val="00630EBE"/>
    <w:rsid w:val="0063660D"/>
    <w:rsid w:val="0063697E"/>
    <w:rsid w:val="00647F46"/>
    <w:rsid w:val="00651E0B"/>
    <w:rsid w:val="00653B68"/>
    <w:rsid w:val="00665619"/>
    <w:rsid w:val="00683FFF"/>
    <w:rsid w:val="00684717"/>
    <w:rsid w:val="00687937"/>
    <w:rsid w:val="0069469B"/>
    <w:rsid w:val="006961C3"/>
    <w:rsid w:val="00696A84"/>
    <w:rsid w:val="006A3076"/>
    <w:rsid w:val="006A649D"/>
    <w:rsid w:val="006B1CBD"/>
    <w:rsid w:val="006B1E37"/>
    <w:rsid w:val="006B3E0D"/>
    <w:rsid w:val="006B50F4"/>
    <w:rsid w:val="006B7F45"/>
    <w:rsid w:val="006C578A"/>
    <w:rsid w:val="006C5880"/>
    <w:rsid w:val="006D23EA"/>
    <w:rsid w:val="006D6157"/>
    <w:rsid w:val="006E0E03"/>
    <w:rsid w:val="006E6A5B"/>
    <w:rsid w:val="006F0BD3"/>
    <w:rsid w:val="006F3DA4"/>
    <w:rsid w:val="006F4D36"/>
    <w:rsid w:val="006F5174"/>
    <w:rsid w:val="007019D0"/>
    <w:rsid w:val="007075CF"/>
    <w:rsid w:val="0071024F"/>
    <w:rsid w:val="00710FE1"/>
    <w:rsid w:val="007150BF"/>
    <w:rsid w:val="00715C61"/>
    <w:rsid w:val="00717F08"/>
    <w:rsid w:val="00723BAD"/>
    <w:rsid w:val="00727526"/>
    <w:rsid w:val="00730D89"/>
    <w:rsid w:val="0074357A"/>
    <w:rsid w:val="00745C4C"/>
    <w:rsid w:val="00746473"/>
    <w:rsid w:val="00750EF6"/>
    <w:rsid w:val="00751D44"/>
    <w:rsid w:val="00757001"/>
    <w:rsid w:val="00757DBB"/>
    <w:rsid w:val="0076150E"/>
    <w:rsid w:val="00762438"/>
    <w:rsid w:val="00764299"/>
    <w:rsid w:val="00764F1B"/>
    <w:rsid w:val="007675E0"/>
    <w:rsid w:val="00767F64"/>
    <w:rsid w:val="00774813"/>
    <w:rsid w:val="00782014"/>
    <w:rsid w:val="00784267"/>
    <w:rsid w:val="007862AA"/>
    <w:rsid w:val="007868D0"/>
    <w:rsid w:val="0079091A"/>
    <w:rsid w:val="00790A68"/>
    <w:rsid w:val="007914C9"/>
    <w:rsid w:val="007966E2"/>
    <w:rsid w:val="007A3F16"/>
    <w:rsid w:val="007A667A"/>
    <w:rsid w:val="007B360E"/>
    <w:rsid w:val="007B670E"/>
    <w:rsid w:val="007B6B6C"/>
    <w:rsid w:val="007C70BA"/>
    <w:rsid w:val="007D04F6"/>
    <w:rsid w:val="007D4D3B"/>
    <w:rsid w:val="007D6493"/>
    <w:rsid w:val="007E2659"/>
    <w:rsid w:val="007E27F3"/>
    <w:rsid w:val="007F3F05"/>
    <w:rsid w:val="0080537D"/>
    <w:rsid w:val="008162B6"/>
    <w:rsid w:val="00816FA5"/>
    <w:rsid w:val="00817F77"/>
    <w:rsid w:val="00823FA0"/>
    <w:rsid w:val="0083574D"/>
    <w:rsid w:val="00835BA6"/>
    <w:rsid w:val="00840975"/>
    <w:rsid w:val="00841C10"/>
    <w:rsid w:val="00842FBC"/>
    <w:rsid w:val="008461EF"/>
    <w:rsid w:val="0084667F"/>
    <w:rsid w:val="00846DD5"/>
    <w:rsid w:val="00851527"/>
    <w:rsid w:val="0085249A"/>
    <w:rsid w:val="008549F5"/>
    <w:rsid w:val="00860FD5"/>
    <w:rsid w:val="008621EB"/>
    <w:rsid w:val="008643E7"/>
    <w:rsid w:val="00883943"/>
    <w:rsid w:val="00887AC5"/>
    <w:rsid w:val="008919DB"/>
    <w:rsid w:val="008A1443"/>
    <w:rsid w:val="008B003E"/>
    <w:rsid w:val="008B4E73"/>
    <w:rsid w:val="008B6EDB"/>
    <w:rsid w:val="008C4A1A"/>
    <w:rsid w:val="008C53F7"/>
    <w:rsid w:val="008C5DA0"/>
    <w:rsid w:val="008E3800"/>
    <w:rsid w:val="008E64D1"/>
    <w:rsid w:val="008E6625"/>
    <w:rsid w:val="008E7CE5"/>
    <w:rsid w:val="008F1A97"/>
    <w:rsid w:val="008F234F"/>
    <w:rsid w:val="008F4FBC"/>
    <w:rsid w:val="00904E41"/>
    <w:rsid w:val="00905B85"/>
    <w:rsid w:val="00906390"/>
    <w:rsid w:val="00912C44"/>
    <w:rsid w:val="0091409A"/>
    <w:rsid w:val="00916CE8"/>
    <w:rsid w:val="009171B8"/>
    <w:rsid w:val="00954B6C"/>
    <w:rsid w:val="00955169"/>
    <w:rsid w:val="009675B9"/>
    <w:rsid w:val="009719EF"/>
    <w:rsid w:val="009831E8"/>
    <w:rsid w:val="00994CA3"/>
    <w:rsid w:val="00994E2A"/>
    <w:rsid w:val="009A1DC1"/>
    <w:rsid w:val="009A4AC3"/>
    <w:rsid w:val="009A522F"/>
    <w:rsid w:val="009A574C"/>
    <w:rsid w:val="009B1216"/>
    <w:rsid w:val="009B6088"/>
    <w:rsid w:val="009C1B17"/>
    <w:rsid w:val="009C2847"/>
    <w:rsid w:val="009C4E53"/>
    <w:rsid w:val="009D3E7F"/>
    <w:rsid w:val="009D5F51"/>
    <w:rsid w:val="009E3F40"/>
    <w:rsid w:val="009F3A69"/>
    <w:rsid w:val="009F3C68"/>
    <w:rsid w:val="009F4845"/>
    <w:rsid w:val="00A0137B"/>
    <w:rsid w:val="00A032EA"/>
    <w:rsid w:val="00A104FF"/>
    <w:rsid w:val="00A11CEB"/>
    <w:rsid w:val="00A16A88"/>
    <w:rsid w:val="00A17A10"/>
    <w:rsid w:val="00A246E4"/>
    <w:rsid w:val="00A359C2"/>
    <w:rsid w:val="00A4218C"/>
    <w:rsid w:val="00A458D7"/>
    <w:rsid w:val="00A52997"/>
    <w:rsid w:val="00A72DFE"/>
    <w:rsid w:val="00A72EBB"/>
    <w:rsid w:val="00A740A4"/>
    <w:rsid w:val="00A80BB1"/>
    <w:rsid w:val="00A81CDA"/>
    <w:rsid w:val="00A84EFE"/>
    <w:rsid w:val="00A8645F"/>
    <w:rsid w:val="00A93913"/>
    <w:rsid w:val="00A94232"/>
    <w:rsid w:val="00A947A2"/>
    <w:rsid w:val="00A947D0"/>
    <w:rsid w:val="00A97845"/>
    <w:rsid w:val="00AA59B1"/>
    <w:rsid w:val="00AB2DE9"/>
    <w:rsid w:val="00AB2F63"/>
    <w:rsid w:val="00AC0E95"/>
    <w:rsid w:val="00AC5C4A"/>
    <w:rsid w:val="00AD195D"/>
    <w:rsid w:val="00AD2C47"/>
    <w:rsid w:val="00AD6BF6"/>
    <w:rsid w:val="00AE065A"/>
    <w:rsid w:val="00AE0831"/>
    <w:rsid w:val="00AE2562"/>
    <w:rsid w:val="00AE6963"/>
    <w:rsid w:val="00AE77DE"/>
    <w:rsid w:val="00AF1D59"/>
    <w:rsid w:val="00AF286B"/>
    <w:rsid w:val="00AF2F06"/>
    <w:rsid w:val="00AF3A75"/>
    <w:rsid w:val="00AF5E82"/>
    <w:rsid w:val="00B00862"/>
    <w:rsid w:val="00B235A5"/>
    <w:rsid w:val="00B30F74"/>
    <w:rsid w:val="00B36147"/>
    <w:rsid w:val="00B50757"/>
    <w:rsid w:val="00B54E7F"/>
    <w:rsid w:val="00B600F4"/>
    <w:rsid w:val="00B61234"/>
    <w:rsid w:val="00B629C4"/>
    <w:rsid w:val="00B66270"/>
    <w:rsid w:val="00B702C1"/>
    <w:rsid w:val="00B7030B"/>
    <w:rsid w:val="00B71F78"/>
    <w:rsid w:val="00B72402"/>
    <w:rsid w:val="00B72D2D"/>
    <w:rsid w:val="00B74100"/>
    <w:rsid w:val="00B8342C"/>
    <w:rsid w:val="00B8651B"/>
    <w:rsid w:val="00B86A7B"/>
    <w:rsid w:val="00B97B44"/>
    <w:rsid w:val="00BA5CF0"/>
    <w:rsid w:val="00BA7A51"/>
    <w:rsid w:val="00BB7311"/>
    <w:rsid w:val="00BC21FC"/>
    <w:rsid w:val="00BC7298"/>
    <w:rsid w:val="00BD5379"/>
    <w:rsid w:val="00BD6641"/>
    <w:rsid w:val="00BE1AC9"/>
    <w:rsid w:val="00BE1B3A"/>
    <w:rsid w:val="00BE20CB"/>
    <w:rsid w:val="00BF175A"/>
    <w:rsid w:val="00BF708C"/>
    <w:rsid w:val="00C01335"/>
    <w:rsid w:val="00C04883"/>
    <w:rsid w:val="00C05934"/>
    <w:rsid w:val="00C1080C"/>
    <w:rsid w:val="00C132D5"/>
    <w:rsid w:val="00C14CB9"/>
    <w:rsid w:val="00C20D6F"/>
    <w:rsid w:val="00C21B14"/>
    <w:rsid w:val="00C32D71"/>
    <w:rsid w:val="00C346A1"/>
    <w:rsid w:val="00C36836"/>
    <w:rsid w:val="00C42073"/>
    <w:rsid w:val="00C44DF4"/>
    <w:rsid w:val="00C53140"/>
    <w:rsid w:val="00C531FD"/>
    <w:rsid w:val="00C57B63"/>
    <w:rsid w:val="00C57BFC"/>
    <w:rsid w:val="00C640F8"/>
    <w:rsid w:val="00C66CFD"/>
    <w:rsid w:val="00C70CB8"/>
    <w:rsid w:val="00C728EB"/>
    <w:rsid w:val="00C766D8"/>
    <w:rsid w:val="00C86869"/>
    <w:rsid w:val="00C90285"/>
    <w:rsid w:val="00CA20BB"/>
    <w:rsid w:val="00CA36C4"/>
    <w:rsid w:val="00CB4516"/>
    <w:rsid w:val="00CB5C34"/>
    <w:rsid w:val="00CC0732"/>
    <w:rsid w:val="00CD1424"/>
    <w:rsid w:val="00CD4906"/>
    <w:rsid w:val="00CD4DFE"/>
    <w:rsid w:val="00CD5054"/>
    <w:rsid w:val="00CE4D39"/>
    <w:rsid w:val="00CF1C1B"/>
    <w:rsid w:val="00D1545A"/>
    <w:rsid w:val="00D22A05"/>
    <w:rsid w:val="00D26383"/>
    <w:rsid w:val="00D273E6"/>
    <w:rsid w:val="00D30C93"/>
    <w:rsid w:val="00D32E02"/>
    <w:rsid w:val="00D349DF"/>
    <w:rsid w:val="00D37FBF"/>
    <w:rsid w:val="00D40766"/>
    <w:rsid w:val="00D40857"/>
    <w:rsid w:val="00D50BC6"/>
    <w:rsid w:val="00D548C1"/>
    <w:rsid w:val="00D56424"/>
    <w:rsid w:val="00D60098"/>
    <w:rsid w:val="00D6450E"/>
    <w:rsid w:val="00D659DF"/>
    <w:rsid w:val="00D65E29"/>
    <w:rsid w:val="00D747CE"/>
    <w:rsid w:val="00D8030B"/>
    <w:rsid w:val="00D84FF7"/>
    <w:rsid w:val="00D90B2E"/>
    <w:rsid w:val="00DA0ADE"/>
    <w:rsid w:val="00DA0F3B"/>
    <w:rsid w:val="00DA3337"/>
    <w:rsid w:val="00DA4F1A"/>
    <w:rsid w:val="00DA53B7"/>
    <w:rsid w:val="00DA6C47"/>
    <w:rsid w:val="00DA7419"/>
    <w:rsid w:val="00DB1060"/>
    <w:rsid w:val="00DB2945"/>
    <w:rsid w:val="00DC3FED"/>
    <w:rsid w:val="00DC6CFA"/>
    <w:rsid w:val="00DD189B"/>
    <w:rsid w:val="00DD18F5"/>
    <w:rsid w:val="00DD32B8"/>
    <w:rsid w:val="00DD3AB1"/>
    <w:rsid w:val="00DE39DB"/>
    <w:rsid w:val="00DE4439"/>
    <w:rsid w:val="00DE6D5E"/>
    <w:rsid w:val="00DE7AEC"/>
    <w:rsid w:val="00DF3366"/>
    <w:rsid w:val="00DF4687"/>
    <w:rsid w:val="00E02EAB"/>
    <w:rsid w:val="00E02F42"/>
    <w:rsid w:val="00E0317C"/>
    <w:rsid w:val="00E0325E"/>
    <w:rsid w:val="00E0514E"/>
    <w:rsid w:val="00E06BA2"/>
    <w:rsid w:val="00E14739"/>
    <w:rsid w:val="00E20119"/>
    <w:rsid w:val="00E20E2A"/>
    <w:rsid w:val="00E2582B"/>
    <w:rsid w:val="00E259C1"/>
    <w:rsid w:val="00E329E3"/>
    <w:rsid w:val="00E34332"/>
    <w:rsid w:val="00E47157"/>
    <w:rsid w:val="00E50FDC"/>
    <w:rsid w:val="00E60B08"/>
    <w:rsid w:val="00E70DA7"/>
    <w:rsid w:val="00E71927"/>
    <w:rsid w:val="00E7389D"/>
    <w:rsid w:val="00E80A7D"/>
    <w:rsid w:val="00E93359"/>
    <w:rsid w:val="00E94F5D"/>
    <w:rsid w:val="00E95672"/>
    <w:rsid w:val="00E977C5"/>
    <w:rsid w:val="00EA1217"/>
    <w:rsid w:val="00EA7FD4"/>
    <w:rsid w:val="00EB1C87"/>
    <w:rsid w:val="00EB3A27"/>
    <w:rsid w:val="00EC2954"/>
    <w:rsid w:val="00ED0A4A"/>
    <w:rsid w:val="00ED2CAB"/>
    <w:rsid w:val="00EF4E08"/>
    <w:rsid w:val="00EF66FC"/>
    <w:rsid w:val="00F00F15"/>
    <w:rsid w:val="00F13AF1"/>
    <w:rsid w:val="00F143EC"/>
    <w:rsid w:val="00F1605F"/>
    <w:rsid w:val="00F16776"/>
    <w:rsid w:val="00F17FF6"/>
    <w:rsid w:val="00F25B99"/>
    <w:rsid w:val="00F273F0"/>
    <w:rsid w:val="00F33D3F"/>
    <w:rsid w:val="00F3617E"/>
    <w:rsid w:val="00F37591"/>
    <w:rsid w:val="00F440CB"/>
    <w:rsid w:val="00F5248A"/>
    <w:rsid w:val="00F53839"/>
    <w:rsid w:val="00F53F4F"/>
    <w:rsid w:val="00F56A30"/>
    <w:rsid w:val="00F74696"/>
    <w:rsid w:val="00F7660D"/>
    <w:rsid w:val="00F76F1C"/>
    <w:rsid w:val="00F7766B"/>
    <w:rsid w:val="00F80D49"/>
    <w:rsid w:val="00F8201F"/>
    <w:rsid w:val="00F85E3B"/>
    <w:rsid w:val="00F95F1F"/>
    <w:rsid w:val="00FA17DE"/>
    <w:rsid w:val="00FA23EC"/>
    <w:rsid w:val="00FA379F"/>
    <w:rsid w:val="00FA6EB4"/>
    <w:rsid w:val="00FA78AE"/>
    <w:rsid w:val="00FB7DBD"/>
    <w:rsid w:val="00FD720E"/>
    <w:rsid w:val="00FE25FC"/>
    <w:rsid w:val="00FF344A"/>
    <w:rsid w:val="00FF534F"/>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0CF7"/>
  <w15:chartTrackingRefBased/>
  <w15:docId w15:val="{BFEB010B-4C22-0B4A-9644-20E155BA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9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564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64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642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642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642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642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642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642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642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424"/>
    <w:rPr>
      <w:rFonts w:eastAsiaTheme="majorEastAsia" w:cstheme="majorBidi"/>
      <w:color w:val="272727" w:themeColor="text1" w:themeTint="D8"/>
    </w:rPr>
  </w:style>
  <w:style w:type="paragraph" w:styleId="Title">
    <w:name w:val="Title"/>
    <w:basedOn w:val="Normal"/>
    <w:next w:val="Normal"/>
    <w:link w:val="TitleChar"/>
    <w:uiPriority w:val="10"/>
    <w:qFormat/>
    <w:rsid w:val="00D5642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4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6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42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56424"/>
    <w:rPr>
      <w:i/>
      <w:iCs/>
      <w:color w:val="404040" w:themeColor="text1" w:themeTint="BF"/>
    </w:rPr>
  </w:style>
  <w:style w:type="paragraph" w:styleId="ListParagraph">
    <w:name w:val="List Paragraph"/>
    <w:basedOn w:val="Normal"/>
    <w:uiPriority w:val="34"/>
    <w:qFormat/>
    <w:rsid w:val="00D5642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56424"/>
    <w:rPr>
      <w:i/>
      <w:iCs/>
      <w:color w:val="0F4761" w:themeColor="accent1" w:themeShade="BF"/>
    </w:rPr>
  </w:style>
  <w:style w:type="paragraph" w:styleId="IntenseQuote">
    <w:name w:val="Intense Quote"/>
    <w:basedOn w:val="Normal"/>
    <w:next w:val="Normal"/>
    <w:link w:val="IntenseQuoteChar"/>
    <w:uiPriority w:val="30"/>
    <w:qFormat/>
    <w:rsid w:val="00D5642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6424"/>
    <w:rPr>
      <w:i/>
      <w:iCs/>
      <w:color w:val="0F4761" w:themeColor="accent1" w:themeShade="BF"/>
    </w:rPr>
  </w:style>
  <w:style w:type="character" w:styleId="IntenseReference">
    <w:name w:val="Intense Reference"/>
    <w:basedOn w:val="DefaultParagraphFont"/>
    <w:uiPriority w:val="32"/>
    <w:qFormat/>
    <w:rsid w:val="00D56424"/>
    <w:rPr>
      <w:b/>
      <w:bCs/>
      <w:smallCaps/>
      <w:color w:val="0F4761" w:themeColor="accent1" w:themeShade="BF"/>
      <w:spacing w:val="5"/>
    </w:rPr>
  </w:style>
  <w:style w:type="paragraph" w:styleId="Header">
    <w:name w:val="header"/>
    <w:basedOn w:val="Normal"/>
    <w:link w:val="HeaderChar"/>
    <w:uiPriority w:val="99"/>
    <w:unhideWhenUsed/>
    <w:rsid w:val="00281FF8"/>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281FF8"/>
  </w:style>
  <w:style w:type="paragraph" w:styleId="Footer">
    <w:name w:val="footer"/>
    <w:basedOn w:val="Normal"/>
    <w:link w:val="FooterChar"/>
    <w:uiPriority w:val="99"/>
    <w:unhideWhenUsed/>
    <w:rsid w:val="00281FF8"/>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281FF8"/>
  </w:style>
  <w:style w:type="character" w:styleId="PageNumber">
    <w:name w:val="page number"/>
    <w:basedOn w:val="DefaultParagraphFont"/>
    <w:uiPriority w:val="99"/>
    <w:semiHidden/>
    <w:unhideWhenUsed/>
    <w:rsid w:val="00281FF8"/>
  </w:style>
  <w:style w:type="paragraph" w:styleId="NormalWeb">
    <w:name w:val="Normal (Web)"/>
    <w:basedOn w:val="Normal"/>
    <w:uiPriority w:val="99"/>
    <w:semiHidden/>
    <w:unhideWhenUsed/>
    <w:rsid w:val="00A8645F"/>
    <w:pPr>
      <w:spacing w:before="100" w:beforeAutospacing="1" w:after="100" w:afterAutospacing="1"/>
    </w:pPr>
  </w:style>
  <w:style w:type="character" w:styleId="Strong">
    <w:name w:val="Strong"/>
    <w:basedOn w:val="DefaultParagraphFont"/>
    <w:uiPriority w:val="22"/>
    <w:qFormat/>
    <w:rsid w:val="00DD189B"/>
    <w:rPr>
      <w:b/>
      <w:bCs/>
    </w:rPr>
  </w:style>
  <w:style w:type="character" w:styleId="Emphasis">
    <w:name w:val="Emphasis"/>
    <w:basedOn w:val="DefaultParagraphFont"/>
    <w:uiPriority w:val="20"/>
    <w:qFormat/>
    <w:rsid w:val="00DD18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24</Pages>
  <Words>6085</Words>
  <Characters>34687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Tarlan Torabi</dc:creator>
  <cp:keywords/>
  <dc:description/>
  <cp:lastModifiedBy>Tarlan Torabi</cp:lastModifiedBy>
  <cp:revision>6</cp:revision>
  <dcterms:created xsi:type="dcterms:W3CDTF">2026-03-31T02:54:00Z</dcterms:created>
  <dcterms:modified xsi:type="dcterms:W3CDTF">2026-04-22T01:36:00Z</dcterms:modified>
</cp:coreProperties>
</file>